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Aktiengesetz (AktG)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06.09.1965</w:t>
      </w:r>
    </w:p>
    <w:p>
      <w:pPr>
        <w:pStyle w:val="Stand"/>
      </w:pPr>
      <w:r>
        <w:rPr>
          <w:b/>
        </w:rPr>
        <w:t xml:space="preserve">Letzte Änderung: </w:t>
      </w:r>
      <w:r>
        <w:t>Art. 23 G v. 04.02.2026 I Nr. 33</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color w:val="0A3A8C"/>
            <w:u w:val="single"/>
          </w:rPr>
          <w:t xml:space="preserve">Eingangsformel</w:t>
        </w:r>
      </w:hyperlink>
    </w:p>
    <w:p>
      <w:pPr>
        <w:pStyle w:val="Übersicht"/>
        <w:ind w:left="0"/>
      </w:pPr>
      <w:hyperlink w:anchor="b1" w:history="1">
        <w:r>
          <w:rPr>
            <w:b/>
            <w:color w:val="0A3A8C"/>
            <w:u w:val="single"/>
          </w:rPr>
          <w:t xml:space="preserve">Erstes Buch Aktiengesellschaft</w:t>
        </w:r>
      </w:hyperlink>
    </w:p>
    <w:p>
      <w:pPr>
        <w:pStyle w:val="Übersicht"/>
        <w:ind w:left="340"/>
      </w:pPr>
      <w:hyperlink w:anchor="b2" w:history="1">
        <w:r>
          <w:rPr>
            <w:b/>
            <w:color w:val="0A3A8C"/>
            <w:u w:val="single"/>
          </w:rPr>
          <w:t xml:space="preserve">Erster Teil Allgemeine Vorschriften</w:t>
        </w:r>
      </w:hyperlink>
    </w:p>
    <w:p>
      <w:pPr>
        <w:pStyle w:val="Übersicht"/>
        <w:ind w:left="680"/>
      </w:pPr>
      <w:hyperlink w:anchor="b3" w:history="1">
        <w:r>
          <w:rPr>
            <w:color w:val="0A3A8C"/>
            <w:u w:val="single"/>
          </w:rPr>
          <w:t xml:space="preserve">§ 1 Wesen der Aktiengesellschaft</w:t>
        </w:r>
      </w:hyperlink>
    </w:p>
    <w:p>
      <w:pPr>
        <w:pStyle w:val="Übersicht"/>
        <w:ind w:left="680"/>
      </w:pPr>
      <w:hyperlink w:anchor="b4" w:history="1">
        <w:r>
          <w:rPr>
            <w:color w:val="0A3A8C"/>
            <w:u w:val="single"/>
          </w:rPr>
          <w:t xml:space="preserve">§ 2 Gründerzahl</w:t>
        </w:r>
      </w:hyperlink>
    </w:p>
    <w:p>
      <w:pPr>
        <w:pStyle w:val="Übersicht"/>
        <w:ind w:left="680"/>
      </w:pPr>
      <w:hyperlink w:anchor="b5" w:history="1">
        <w:r>
          <w:rPr>
            <w:color w:val="0A3A8C"/>
            <w:u w:val="single"/>
          </w:rPr>
          <w:t xml:space="preserve">§ 3 Formkaufmann. Börsennotierung</w:t>
        </w:r>
      </w:hyperlink>
    </w:p>
    <w:p>
      <w:pPr>
        <w:pStyle w:val="Übersicht"/>
        <w:ind w:left="680"/>
      </w:pPr>
      <w:hyperlink w:anchor="b6" w:history="1">
        <w:r>
          <w:rPr>
            <w:color w:val="0A3A8C"/>
            <w:u w:val="single"/>
          </w:rPr>
          <w:t xml:space="preserve">§ 4 Firma</w:t>
        </w:r>
      </w:hyperlink>
    </w:p>
    <w:p>
      <w:pPr>
        <w:pStyle w:val="Übersicht"/>
        <w:ind w:left="680"/>
      </w:pPr>
      <w:hyperlink w:anchor="b7" w:history="1">
        <w:r>
          <w:rPr>
            <w:color w:val="0A3A8C"/>
            <w:u w:val="single"/>
          </w:rPr>
          <w:t xml:space="preserve">§ 5 Sitz</w:t>
        </w:r>
      </w:hyperlink>
    </w:p>
    <w:p>
      <w:pPr>
        <w:pStyle w:val="Übersicht"/>
        <w:ind w:left="680"/>
      </w:pPr>
      <w:hyperlink w:anchor="b8" w:history="1">
        <w:r>
          <w:rPr>
            <w:color w:val="0A3A8C"/>
            <w:u w:val="single"/>
          </w:rPr>
          <w:t xml:space="preserve">§ 6 Grundkapital</w:t>
        </w:r>
      </w:hyperlink>
    </w:p>
    <w:p>
      <w:pPr>
        <w:pStyle w:val="Übersicht"/>
        <w:ind w:left="680"/>
      </w:pPr>
      <w:hyperlink w:anchor="b9" w:history="1">
        <w:r>
          <w:rPr>
            <w:color w:val="0A3A8C"/>
            <w:u w:val="single"/>
          </w:rPr>
          <w:t xml:space="preserve">§ 7 Mindestnennbetrag des Grundkapitals</w:t>
        </w:r>
      </w:hyperlink>
    </w:p>
    <w:p>
      <w:pPr>
        <w:pStyle w:val="Übersicht"/>
        <w:ind w:left="680"/>
      </w:pPr>
      <w:hyperlink w:anchor="b10" w:history="1">
        <w:r>
          <w:rPr>
            <w:color w:val="0A3A8C"/>
            <w:u w:val="single"/>
          </w:rPr>
          <w:t xml:space="preserve">§ 8 Form und Mindestbeträge der Aktien</w:t>
        </w:r>
      </w:hyperlink>
    </w:p>
    <w:p>
      <w:pPr>
        <w:pStyle w:val="Übersicht"/>
        <w:ind w:left="680"/>
      </w:pPr>
      <w:hyperlink w:anchor="b11" w:history="1">
        <w:r>
          <w:rPr>
            <w:color w:val="0A3A8C"/>
            <w:u w:val="single"/>
          </w:rPr>
          <w:t xml:space="preserve">§ 9 Ausgabebetrag der Aktien</w:t>
        </w:r>
      </w:hyperlink>
    </w:p>
    <w:p>
      <w:pPr>
        <w:pStyle w:val="Übersicht"/>
        <w:ind w:left="680"/>
      </w:pPr>
      <w:hyperlink w:anchor="b12" w:history="1">
        <w:r>
          <w:rPr>
            <w:color w:val="0A3A8C"/>
            <w:u w:val="single"/>
          </w:rPr>
          <w:t xml:space="preserve">§ 10 Aktien und Zwischenscheine</w:t>
        </w:r>
      </w:hyperlink>
    </w:p>
    <w:p>
      <w:pPr>
        <w:pStyle w:val="Übersicht"/>
        <w:ind w:left="680"/>
      </w:pPr>
      <w:hyperlink w:anchor="b13" w:history="1">
        <w:r>
          <w:rPr>
            <w:color w:val="0A3A8C"/>
            <w:u w:val="single"/>
          </w:rPr>
          <w:t xml:space="preserve">§ 11 Aktien besonderer Gattung</w:t>
        </w:r>
      </w:hyperlink>
    </w:p>
    <w:p>
      <w:pPr>
        <w:pStyle w:val="Übersicht"/>
        <w:ind w:left="680"/>
      </w:pPr>
      <w:hyperlink w:anchor="b14" w:history="1">
        <w:r>
          <w:rPr>
            <w:color w:val="0A3A8C"/>
            <w:u w:val="single"/>
          </w:rPr>
          <w:t xml:space="preserve">§ 12 Stimmrecht</w:t>
        </w:r>
      </w:hyperlink>
    </w:p>
    <w:p>
      <w:pPr>
        <w:pStyle w:val="Übersicht"/>
        <w:ind w:left="680"/>
      </w:pPr>
      <w:hyperlink w:anchor="b15" w:history="1">
        <w:r>
          <w:rPr>
            <w:color w:val="0A3A8C"/>
            <w:u w:val="single"/>
          </w:rPr>
          <w:t xml:space="preserve">§ 13 Unterzeichnung der Aktien</w:t>
        </w:r>
      </w:hyperlink>
    </w:p>
    <w:p>
      <w:pPr>
        <w:pStyle w:val="Übersicht"/>
        <w:ind w:left="680"/>
      </w:pPr>
      <w:hyperlink w:anchor="b16" w:history="1">
        <w:r>
          <w:rPr>
            <w:color w:val="0A3A8C"/>
            <w:u w:val="single"/>
          </w:rPr>
          <w:t xml:space="preserve">§ 14 Zuständigkeit</w:t>
        </w:r>
      </w:hyperlink>
    </w:p>
    <w:p>
      <w:pPr>
        <w:pStyle w:val="Übersicht"/>
        <w:ind w:left="680"/>
      </w:pPr>
      <w:hyperlink w:anchor="b17" w:history="1">
        <w:r>
          <w:rPr>
            <w:color w:val="0A3A8C"/>
            <w:u w:val="single"/>
          </w:rPr>
          <w:t xml:space="preserve">§ 15 Verbundene Unternehmen</w:t>
        </w:r>
      </w:hyperlink>
    </w:p>
    <w:p>
      <w:pPr>
        <w:pStyle w:val="Übersicht"/>
        <w:ind w:left="680"/>
      </w:pPr>
      <w:hyperlink w:anchor="b18" w:history="1">
        <w:r>
          <w:rPr>
            <w:color w:val="0A3A8C"/>
            <w:u w:val="single"/>
          </w:rPr>
          <w:t xml:space="preserve">§ 16 In Mehrheitsbesitz stehende Unternehmen und mit Mehrheit
beteiligte Unternehmen</w:t>
        </w:r>
      </w:hyperlink>
    </w:p>
    <w:p>
      <w:pPr>
        <w:pStyle w:val="Übersicht"/>
        <w:ind w:left="680"/>
      </w:pPr>
      <w:hyperlink w:anchor="b19" w:history="1">
        <w:r>
          <w:rPr>
            <w:color w:val="0A3A8C"/>
            <w:u w:val="single"/>
          </w:rPr>
          <w:t xml:space="preserve">§ 17 Abhängige und herrschende Unternehmen</w:t>
        </w:r>
      </w:hyperlink>
    </w:p>
    <w:p>
      <w:pPr>
        <w:pStyle w:val="Übersicht"/>
        <w:ind w:left="680"/>
      </w:pPr>
      <w:hyperlink w:anchor="b20" w:history="1">
        <w:r>
          <w:rPr>
            <w:color w:val="0A3A8C"/>
            <w:u w:val="single"/>
          </w:rPr>
          <w:t xml:space="preserve">§ 18 Konzern und Konzernunternehmen</w:t>
        </w:r>
      </w:hyperlink>
    </w:p>
    <w:p>
      <w:pPr>
        <w:pStyle w:val="Übersicht"/>
        <w:ind w:left="680"/>
      </w:pPr>
      <w:hyperlink w:anchor="b21" w:history="1">
        <w:r>
          <w:rPr>
            <w:color w:val="0A3A8C"/>
            <w:u w:val="single"/>
          </w:rPr>
          <w:t xml:space="preserve">§ 19 Wechselseitig beteiligte Unternehmen</w:t>
        </w:r>
      </w:hyperlink>
    </w:p>
    <w:p>
      <w:pPr>
        <w:pStyle w:val="Übersicht"/>
        <w:ind w:left="680"/>
      </w:pPr>
      <w:hyperlink w:anchor="b22" w:history="1">
        <w:r>
          <w:rPr>
            <w:color w:val="0A3A8C"/>
            <w:u w:val="single"/>
          </w:rPr>
          <w:t xml:space="preserve">§ 20 Mitteilungspflichten</w:t>
        </w:r>
      </w:hyperlink>
    </w:p>
    <w:p>
      <w:pPr>
        <w:pStyle w:val="Übersicht"/>
        <w:ind w:left="680"/>
      </w:pPr>
      <w:hyperlink w:anchor="b23" w:history="1">
        <w:r>
          <w:rPr>
            <w:color w:val="0A3A8C"/>
            <w:u w:val="single"/>
          </w:rPr>
          <w:t xml:space="preserve">§ 21 Mitteilungspflichten der Gesellschaft</w:t>
        </w:r>
      </w:hyperlink>
    </w:p>
    <w:p>
      <w:pPr>
        <w:pStyle w:val="Übersicht"/>
        <w:ind w:left="680"/>
      </w:pPr>
      <w:hyperlink w:anchor="b24" w:history="1">
        <w:r>
          <w:rPr>
            <w:color w:val="0A3A8C"/>
            <w:u w:val="single"/>
          </w:rPr>
          <w:t xml:space="preserve">§ 22 Nachweis mitgeteilter Beteiligungen</w:t>
        </w:r>
      </w:hyperlink>
    </w:p>
    <w:p>
      <w:pPr>
        <w:pStyle w:val="Übersicht"/>
        <w:ind w:left="340"/>
      </w:pPr>
      <w:hyperlink w:anchor="b25" w:history="1">
        <w:r>
          <w:rPr>
            <w:b/>
            <w:color w:val="0A3A8C"/>
            <w:u w:val="single"/>
          </w:rPr>
          <w:t xml:space="preserve">Zweiter Teil Gründung der Gesellschaft</w:t>
        </w:r>
      </w:hyperlink>
    </w:p>
    <w:p>
      <w:pPr>
        <w:pStyle w:val="Übersicht"/>
        <w:ind w:left="680"/>
      </w:pPr>
      <w:hyperlink w:anchor="b26" w:history="1">
        <w:r>
          <w:rPr>
            <w:color w:val="0A3A8C"/>
            <w:u w:val="single"/>
          </w:rPr>
          <w:t xml:space="preserve">§ 23 Feststellung der Satzung</w:t>
        </w:r>
      </w:hyperlink>
    </w:p>
    <w:p>
      <w:pPr>
        <w:pStyle w:val="Übersicht"/>
        <w:ind w:left="680"/>
      </w:pPr>
      <w:hyperlink w:anchor="b27" w:history="1">
        <w:r>
          <w:rPr>
            <w:color w:val="0A3A8C"/>
            <w:u w:val="single"/>
          </w:rPr>
          <w:t xml:space="preserve">§ 24 (weggefallen)</w:t>
        </w:r>
      </w:hyperlink>
    </w:p>
    <w:p>
      <w:pPr>
        <w:pStyle w:val="Übersicht"/>
        <w:ind w:left="680"/>
      </w:pPr>
      <w:hyperlink w:anchor="b28" w:history="1">
        <w:r>
          <w:rPr>
            <w:color w:val="0A3A8C"/>
            <w:u w:val="single"/>
          </w:rPr>
          <w:t xml:space="preserve">§ 25 Bekanntmachungen der Gesellschaft</w:t>
        </w:r>
      </w:hyperlink>
    </w:p>
    <w:p>
      <w:pPr>
        <w:pStyle w:val="Übersicht"/>
        <w:ind w:left="680"/>
      </w:pPr>
      <w:hyperlink w:anchor="b29" w:history="1">
        <w:r>
          <w:rPr>
            <w:color w:val="0A3A8C"/>
            <w:u w:val="single"/>
          </w:rPr>
          <w:t xml:space="preserve">§ 26 Sondervorteile. Gründungsaufwand</w:t>
        </w:r>
      </w:hyperlink>
    </w:p>
    <w:p>
      <w:pPr>
        <w:pStyle w:val="Übersicht"/>
        <w:ind w:left="680"/>
      </w:pPr>
      <w:hyperlink w:anchor="b30" w:history="1">
        <w:r>
          <w:rPr>
            <w:color w:val="0A3A8C"/>
            <w:u w:val="single"/>
          </w:rPr>
          <w:t xml:space="preserve">§ 27 Sacheinlagen, Sachübernahmen; Rückzahlung von Einlagen</w:t>
        </w:r>
      </w:hyperlink>
    </w:p>
    <w:p>
      <w:pPr>
        <w:pStyle w:val="Übersicht"/>
        <w:ind w:left="680"/>
      </w:pPr>
      <w:hyperlink w:anchor="b31" w:history="1">
        <w:r>
          <w:rPr>
            <w:color w:val="0A3A8C"/>
            <w:u w:val="single"/>
          </w:rPr>
          <w:t xml:space="preserve">§ 28 Gründer</w:t>
        </w:r>
      </w:hyperlink>
    </w:p>
    <w:p>
      <w:pPr>
        <w:pStyle w:val="Übersicht"/>
        <w:ind w:left="680"/>
      </w:pPr>
      <w:hyperlink w:anchor="b32" w:history="1">
        <w:r>
          <w:rPr>
            <w:color w:val="0A3A8C"/>
            <w:u w:val="single"/>
          </w:rPr>
          <w:t xml:space="preserve">§ 29 Errichtung der Gesellschaft</w:t>
        </w:r>
      </w:hyperlink>
    </w:p>
    <w:p>
      <w:pPr>
        <w:pStyle w:val="Übersicht"/>
        <w:ind w:left="680"/>
      </w:pPr>
      <w:hyperlink w:anchor="b33" w:history="1">
        <w:r>
          <w:rPr>
            <w:color w:val="0A3A8C"/>
            <w:u w:val="single"/>
          </w:rPr>
          <w:t xml:space="preserve">§ 30 Bestellung des Aufsichtsrats, des Vorstands und des
Abschlußprüfers</w:t>
        </w:r>
      </w:hyperlink>
    </w:p>
    <w:p>
      <w:pPr>
        <w:pStyle w:val="Übersicht"/>
        <w:ind w:left="680"/>
      </w:pPr>
      <w:hyperlink w:anchor="b34" w:history="1">
        <w:r>
          <w:rPr>
            <w:color w:val="0A3A8C"/>
            <w:u w:val="single"/>
          </w:rPr>
          <w:t xml:space="preserve">§ 31 Bestellung des Aufsichtsrats bei Sachgründung</w:t>
        </w:r>
      </w:hyperlink>
    </w:p>
    <w:p>
      <w:pPr>
        <w:pStyle w:val="Übersicht"/>
        <w:ind w:left="680"/>
      </w:pPr>
      <w:hyperlink w:anchor="b35" w:history="1">
        <w:r>
          <w:rPr>
            <w:color w:val="0A3A8C"/>
            <w:u w:val="single"/>
          </w:rPr>
          <w:t xml:space="preserve">§ 32 Gründungsbericht</w:t>
        </w:r>
      </w:hyperlink>
    </w:p>
    <w:p>
      <w:pPr>
        <w:pStyle w:val="Übersicht"/>
        <w:ind w:left="680"/>
      </w:pPr>
      <w:hyperlink w:anchor="b36" w:history="1">
        <w:r>
          <w:rPr>
            <w:color w:val="0A3A8C"/>
            <w:u w:val="single"/>
          </w:rPr>
          <w:t xml:space="preserve">§ 33 Gründungsprüfung. Allgemeines</w:t>
        </w:r>
      </w:hyperlink>
    </w:p>
    <w:p>
      <w:pPr>
        <w:pStyle w:val="Übersicht"/>
        <w:ind w:left="680"/>
      </w:pPr>
      <w:hyperlink w:anchor="b37" w:history="1">
        <w:r>
          <w:rPr>
            <w:color w:val="0A3A8C"/>
            <w:u w:val="single"/>
          </w:rPr>
          <w:t xml:space="preserve">§ 33a Sachgründung ohne externe Gründungsprüfung</w:t>
        </w:r>
      </w:hyperlink>
    </w:p>
    <w:p>
      <w:pPr>
        <w:pStyle w:val="Übersicht"/>
        <w:ind w:left="680"/>
      </w:pPr>
      <w:hyperlink w:anchor="b38" w:history="1">
        <w:r>
          <w:rPr>
            <w:color w:val="0A3A8C"/>
            <w:u w:val="single"/>
          </w:rPr>
          <w:t xml:space="preserve">§ 34 Umfang der Gründungsprüfung</w:t>
        </w:r>
      </w:hyperlink>
    </w:p>
    <w:p>
      <w:pPr>
        <w:pStyle w:val="Übersicht"/>
        <w:ind w:left="680"/>
      </w:pPr>
      <w:hyperlink w:anchor="b39" w:history="1">
        <w:r>
          <w:rPr>
            <w:color w:val="0A3A8C"/>
            <w:u w:val="single"/>
          </w:rPr>
          <w:t xml:space="preserve">§ 35 Meinungsverschiedenheiten zwischen Gründern und Gründungsprüfern. Vergütung und Auslagen der Gründungsprüfer</w:t>
        </w:r>
      </w:hyperlink>
    </w:p>
    <w:p>
      <w:pPr>
        <w:pStyle w:val="Übersicht"/>
        <w:ind w:left="680"/>
      </w:pPr>
      <w:hyperlink w:anchor="b40" w:history="1">
        <w:r>
          <w:rPr>
            <w:color w:val="0A3A8C"/>
            <w:u w:val="single"/>
          </w:rPr>
          <w:t xml:space="preserve">§ 36 Anmeldung der Gesellschaft</w:t>
        </w:r>
      </w:hyperlink>
    </w:p>
    <w:p>
      <w:pPr>
        <w:pStyle w:val="Übersicht"/>
        <w:ind w:left="680"/>
      </w:pPr>
      <w:hyperlink w:anchor="b41" w:history="1">
        <w:r>
          <w:rPr>
            <w:color w:val="0A3A8C"/>
            <w:u w:val="single"/>
          </w:rPr>
          <w:t xml:space="preserve">§ 36a Leistung der Einlagen</w:t>
        </w:r>
      </w:hyperlink>
    </w:p>
    <w:p>
      <w:pPr>
        <w:pStyle w:val="Übersicht"/>
        <w:ind w:left="680"/>
      </w:pPr>
      <w:hyperlink w:anchor="b42" w:history="1">
        <w:r>
          <w:rPr>
            <w:color w:val="0A3A8C"/>
            <w:u w:val="single"/>
          </w:rPr>
          <w:t xml:space="preserve">§ 37 Inhalt der Anmeldung</w:t>
        </w:r>
      </w:hyperlink>
    </w:p>
    <w:p>
      <w:pPr>
        <w:pStyle w:val="Übersicht"/>
        <w:ind w:left="680"/>
      </w:pPr>
      <w:hyperlink w:anchor="b43" w:history="1">
        <w:r>
          <w:rPr>
            <w:color w:val="0A3A8C"/>
            <w:u w:val="single"/>
          </w:rPr>
          <w:t xml:space="preserve">§ 37a Anmeldung bei Sachgründung ohne externe Gründungsprüfung</w:t>
        </w:r>
      </w:hyperlink>
    </w:p>
    <w:p>
      <w:pPr>
        <w:pStyle w:val="Übersicht"/>
        <w:ind w:left="680"/>
      </w:pPr>
      <w:hyperlink w:anchor="b44" w:history="1">
        <w:r>
          <w:rPr>
            <w:color w:val="0A3A8C"/>
            <w:u w:val="single"/>
          </w:rPr>
          <w:t xml:space="preserve">§ 38 Prüfung durch das Gericht</w:t>
        </w:r>
      </w:hyperlink>
    </w:p>
    <w:p>
      <w:pPr>
        <w:pStyle w:val="Übersicht"/>
        <w:ind w:left="680"/>
      </w:pPr>
      <w:hyperlink w:anchor="b45" w:history="1">
        <w:r>
          <w:rPr>
            <w:color w:val="0A3A8C"/>
            <w:u w:val="single"/>
          </w:rPr>
          <w:t xml:space="preserve">§ 39 Inhalt der Eintragung</w:t>
        </w:r>
      </w:hyperlink>
    </w:p>
    <w:p>
      <w:pPr>
        <w:pStyle w:val="Übersicht"/>
        <w:ind w:left="680"/>
      </w:pPr>
      <w:hyperlink w:anchor="b46" w:history="1">
        <w:r>
          <w:rPr>
            <w:color w:val="0A3A8C"/>
            <w:u w:val="single"/>
          </w:rPr>
          <w:t xml:space="preserve">§ 40 (weggefallen)</w:t>
        </w:r>
      </w:hyperlink>
    </w:p>
    <w:p>
      <w:pPr>
        <w:pStyle w:val="Übersicht"/>
        <w:ind w:left="680"/>
      </w:pPr>
      <w:hyperlink w:anchor="b47" w:history="1">
        <w:r>
          <w:rPr>
            <w:color w:val="0A3A8C"/>
            <w:u w:val="single"/>
          </w:rPr>
          <w:t xml:space="preserve">§ 41 Handeln im Namen der Gesellschaft vor der Eintragung.
Verbotene Aktienausgabe</w:t>
        </w:r>
      </w:hyperlink>
    </w:p>
    <w:p>
      <w:pPr>
        <w:pStyle w:val="Übersicht"/>
        <w:ind w:left="680"/>
      </w:pPr>
      <w:hyperlink w:anchor="b48" w:history="1">
        <w:r>
          <w:rPr>
            <w:color w:val="0A3A8C"/>
            <w:u w:val="single"/>
          </w:rPr>
          <w:t xml:space="preserve">§ 42 Einpersonen-Gesellschaft</w:t>
        </w:r>
      </w:hyperlink>
    </w:p>
    <w:p>
      <w:pPr>
        <w:pStyle w:val="Übersicht"/>
        <w:ind w:left="680"/>
      </w:pPr>
      <w:hyperlink w:anchor="b49" w:history="1">
        <w:r>
          <w:rPr>
            <w:color w:val="0A3A8C"/>
            <w:u w:val="single"/>
          </w:rPr>
          <w:t xml:space="preserve">§§ 43 und 44</w:t>
        </w:r>
      </w:hyperlink>
    </w:p>
    <w:p>
      <w:pPr>
        <w:pStyle w:val="Übersicht"/>
        <w:ind w:left="680"/>
      </w:pPr>
      <w:hyperlink w:anchor="b50" w:history="1">
        <w:r>
          <w:rPr>
            <w:color w:val="0A3A8C"/>
            <w:u w:val="single"/>
          </w:rPr>
          <w:t xml:space="preserve">§ 45 Sitzverlegung</w:t>
        </w:r>
      </w:hyperlink>
    </w:p>
    <w:p>
      <w:pPr>
        <w:pStyle w:val="Übersicht"/>
        <w:ind w:left="680"/>
      </w:pPr>
      <w:hyperlink w:anchor="b51" w:history="1">
        <w:r>
          <w:rPr>
            <w:color w:val="0A3A8C"/>
            <w:u w:val="single"/>
          </w:rPr>
          <w:t xml:space="preserve">§ 46 Verantwortlichkeit der Gründer</w:t>
        </w:r>
      </w:hyperlink>
    </w:p>
    <w:p>
      <w:pPr>
        <w:pStyle w:val="Übersicht"/>
        <w:ind w:left="680"/>
      </w:pPr>
      <w:hyperlink w:anchor="b52" w:history="1">
        <w:r>
          <w:rPr>
            <w:color w:val="0A3A8C"/>
            <w:u w:val="single"/>
          </w:rPr>
          <w:t xml:space="preserve">§ 47 Verantwortlichkeit anderer Personen neben den Gründern</w:t>
        </w:r>
      </w:hyperlink>
    </w:p>
    <w:p>
      <w:pPr>
        <w:pStyle w:val="Übersicht"/>
        <w:ind w:left="680"/>
      </w:pPr>
      <w:hyperlink w:anchor="b53" w:history="1">
        <w:r>
          <w:rPr>
            <w:color w:val="0A3A8C"/>
            <w:u w:val="single"/>
          </w:rPr>
          <w:t xml:space="preserve">§ 48 Verantwortlichkeit des Vorstands und des Aufsichtsrats</w:t>
        </w:r>
      </w:hyperlink>
    </w:p>
    <w:p>
      <w:pPr>
        <w:pStyle w:val="Übersicht"/>
        <w:ind w:left="680"/>
      </w:pPr>
      <w:hyperlink w:anchor="b54" w:history="1">
        <w:r>
          <w:rPr>
            <w:color w:val="0A3A8C"/>
            <w:u w:val="single"/>
          </w:rPr>
          <w:t xml:space="preserve">§ 49 Verantwortlichkeit der Gründungsprüfer</w:t>
        </w:r>
      </w:hyperlink>
    </w:p>
    <w:p>
      <w:pPr>
        <w:pStyle w:val="Übersicht"/>
        <w:ind w:left="680"/>
      </w:pPr>
      <w:hyperlink w:anchor="b55" w:history="1">
        <w:r>
          <w:rPr>
            <w:color w:val="0A3A8C"/>
            <w:u w:val="single"/>
          </w:rPr>
          <w:t xml:space="preserve">§ 50 Verzicht und Vergleich</w:t>
        </w:r>
      </w:hyperlink>
    </w:p>
    <w:p>
      <w:pPr>
        <w:pStyle w:val="Übersicht"/>
        <w:ind w:left="680"/>
      </w:pPr>
      <w:hyperlink w:anchor="b56" w:history="1">
        <w:r>
          <w:rPr>
            <w:color w:val="0A3A8C"/>
            <w:u w:val="single"/>
          </w:rPr>
          <w:t xml:space="preserve">§ 51 Verjährung der Ersatzansprüche</w:t>
        </w:r>
      </w:hyperlink>
    </w:p>
    <w:p>
      <w:pPr>
        <w:pStyle w:val="Übersicht"/>
        <w:ind w:left="680"/>
      </w:pPr>
      <w:hyperlink w:anchor="b57" w:history="1">
        <w:r>
          <w:rPr>
            <w:color w:val="0A3A8C"/>
            <w:u w:val="single"/>
          </w:rPr>
          <w:t xml:space="preserve">§ 52 Nachgründung</w:t>
        </w:r>
      </w:hyperlink>
    </w:p>
    <w:p>
      <w:pPr>
        <w:pStyle w:val="Übersicht"/>
        <w:ind w:left="680"/>
      </w:pPr>
      <w:hyperlink w:anchor="b58" w:history="1">
        <w:r>
          <w:rPr>
            <w:color w:val="0A3A8C"/>
            <w:u w:val="single"/>
          </w:rPr>
          <w:t xml:space="preserve">§ 53 Ersatzansprüche bei der Nachgründung</w:t>
        </w:r>
      </w:hyperlink>
    </w:p>
    <w:p>
      <w:pPr>
        <w:pStyle w:val="Übersicht"/>
        <w:ind w:left="340"/>
      </w:pPr>
      <w:hyperlink w:anchor="b59" w:history="1">
        <w:r>
          <w:rPr>
            <w:b/>
            <w:color w:val="0A3A8C"/>
            <w:u w:val="single"/>
          </w:rPr>
          <w:t xml:space="preserve">Dritter Teil Rechtsverhältnisse der
Gesellschaft und der Gesellschafter</w:t>
        </w:r>
      </w:hyperlink>
    </w:p>
    <w:p>
      <w:pPr>
        <w:pStyle w:val="Übersicht"/>
        <w:ind w:left="680"/>
      </w:pPr>
      <w:hyperlink w:anchor="b60" w:history="1">
        <w:r>
          <w:rPr>
            <w:color w:val="0A3A8C"/>
            <w:u w:val="single"/>
          </w:rPr>
          <w:t xml:space="preserve">§ 53a Gleichbehandlung der Aktionäre</w:t>
        </w:r>
      </w:hyperlink>
    </w:p>
    <w:p>
      <w:pPr>
        <w:pStyle w:val="Übersicht"/>
        <w:ind w:left="680"/>
      </w:pPr>
      <w:hyperlink w:anchor="b61" w:history="1">
        <w:r>
          <w:rPr>
            <w:color w:val="0A3A8C"/>
            <w:u w:val="single"/>
          </w:rPr>
          <w:t xml:space="preserve">§ 54 Hauptverpflichtung der Aktionäre</w:t>
        </w:r>
      </w:hyperlink>
    </w:p>
    <w:p>
      <w:pPr>
        <w:pStyle w:val="Übersicht"/>
        <w:ind w:left="680"/>
      </w:pPr>
      <w:hyperlink w:anchor="b62" w:history="1">
        <w:r>
          <w:rPr>
            <w:color w:val="0A3A8C"/>
            <w:u w:val="single"/>
          </w:rPr>
          <w:t xml:space="preserve">§ 55 Nebenverpflichtungen der Aktionäre</w:t>
        </w:r>
      </w:hyperlink>
    </w:p>
    <w:p>
      <w:pPr>
        <w:pStyle w:val="Übersicht"/>
        <w:ind w:left="680"/>
      </w:pPr>
      <w:hyperlink w:anchor="b63" w:history="1">
        <w:r>
          <w:rPr>
            <w:color w:val="0A3A8C"/>
            <w:u w:val="single"/>
          </w:rPr>
          <w:t xml:space="preserve">§ 56 Keine Zeichnung eigener Aktien. Aktienübernahme für Rechnung
der Gesellschaft oder durch ein abhängiges oder in Mehrheitsbesitz
stehendes Unternehmen</w:t>
        </w:r>
      </w:hyperlink>
    </w:p>
    <w:p>
      <w:pPr>
        <w:pStyle w:val="Übersicht"/>
        <w:ind w:left="680"/>
      </w:pPr>
      <w:hyperlink w:anchor="b64" w:history="1">
        <w:r>
          <w:rPr>
            <w:color w:val="0A3A8C"/>
            <w:u w:val="single"/>
          </w:rPr>
          <w:t xml:space="preserve">§ 57 Keine Rückgewähr, keine Verzinsung der Einlagen</w:t>
        </w:r>
      </w:hyperlink>
    </w:p>
    <w:p>
      <w:pPr>
        <w:pStyle w:val="Übersicht"/>
        <w:ind w:left="680"/>
      </w:pPr>
      <w:hyperlink w:anchor="b65" w:history="1">
        <w:r>
          <w:rPr>
            <w:color w:val="0A3A8C"/>
            <w:u w:val="single"/>
          </w:rPr>
          <w:t xml:space="preserve">§ 58 Verwendung des Jahresüberschusses</w:t>
        </w:r>
      </w:hyperlink>
    </w:p>
    <w:p>
      <w:pPr>
        <w:pStyle w:val="Übersicht"/>
        <w:ind w:left="680"/>
      </w:pPr>
      <w:hyperlink w:anchor="b66" w:history="1">
        <w:r>
          <w:rPr>
            <w:color w:val="0A3A8C"/>
            <w:u w:val="single"/>
          </w:rPr>
          <w:t xml:space="preserve">§ 59 Abschlagszahlung auf den Bilanzgewinn</w:t>
        </w:r>
      </w:hyperlink>
    </w:p>
    <w:p>
      <w:pPr>
        <w:pStyle w:val="Übersicht"/>
        <w:ind w:left="680"/>
      </w:pPr>
      <w:hyperlink w:anchor="b67" w:history="1">
        <w:r>
          <w:rPr>
            <w:color w:val="0A3A8C"/>
            <w:u w:val="single"/>
          </w:rPr>
          <w:t xml:space="preserve">§ 60 Gewinnverteilung</w:t>
        </w:r>
      </w:hyperlink>
    </w:p>
    <w:p>
      <w:pPr>
        <w:pStyle w:val="Übersicht"/>
        <w:ind w:left="680"/>
      </w:pPr>
      <w:hyperlink w:anchor="b68" w:history="1">
        <w:r>
          <w:rPr>
            <w:color w:val="0A3A8C"/>
            <w:u w:val="single"/>
          </w:rPr>
          <w:t xml:space="preserve">§ 61 Vergütung von Nebenleistungen</w:t>
        </w:r>
      </w:hyperlink>
    </w:p>
    <w:p>
      <w:pPr>
        <w:pStyle w:val="Übersicht"/>
        <w:ind w:left="680"/>
      </w:pPr>
      <w:hyperlink w:anchor="b69" w:history="1">
        <w:r>
          <w:rPr>
            <w:color w:val="0A3A8C"/>
            <w:u w:val="single"/>
          </w:rPr>
          <w:t xml:space="preserve">§ 62 Haftung der Aktionäre beim Empfang verbotener Leistungen</w:t>
        </w:r>
      </w:hyperlink>
    </w:p>
    <w:p>
      <w:pPr>
        <w:pStyle w:val="Übersicht"/>
        <w:ind w:left="680"/>
      </w:pPr>
      <w:hyperlink w:anchor="b70" w:history="1">
        <w:r>
          <w:rPr>
            <w:color w:val="0A3A8C"/>
            <w:u w:val="single"/>
          </w:rPr>
          <w:t xml:space="preserve">§ 63 Folgen nicht rechtzeitiger Einzahlung</w:t>
        </w:r>
      </w:hyperlink>
    </w:p>
    <w:p>
      <w:pPr>
        <w:pStyle w:val="Übersicht"/>
        <w:ind w:left="680"/>
      </w:pPr>
      <w:hyperlink w:anchor="b71" w:history="1">
        <w:r>
          <w:rPr>
            <w:color w:val="0A3A8C"/>
            <w:u w:val="single"/>
          </w:rPr>
          <w:t xml:space="preserve">§ 64 Ausschluß säumiger Aktionäre</w:t>
        </w:r>
      </w:hyperlink>
    </w:p>
    <w:p>
      <w:pPr>
        <w:pStyle w:val="Übersicht"/>
        <w:ind w:left="680"/>
      </w:pPr>
      <w:hyperlink w:anchor="b72" w:history="1">
        <w:r>
          <w:rPr>
            <w:color w:val="0A3A8C"/>
            <w:u w:val="single"/>
          </w:rPr>
          <w:t xml:space="preserve">§ 65 Zahlungspflicht der Vormänner</w:t>
        </w:r>
      </w:hyperlink>
    </w:p>
    <w:p>
      <w:pPr>
        <w:pStyle w:val="Übersicht"/>
        <w:ind w:left="680"/>
      </w:pPr>
      <w:hyperlink w:anchor="b73" w:history="1">
        <w:r>
          <w:rPr>
            <w:color w:val="0A3A8C"/>
            <w:u w:val="single"/>
          </w:rPr>
          <w:t xml:space="preserve">§ 66 Keine Befreiung der Aktionäre von ihren Leistungspflichten</w:t>
        </w:r>
      </w:hyperlink>
    </w:p>
    <w:p>
      <w:pPr>
        <w:pStyle w:val="Übersicht"/>
        <w:ind w:left="680"/>
      </w:pPr>
      <w:hyperlink w:anchor="b74" w:history="1">
        <w:r>
          <w:rPr>
            <w:color w:val="0A3A8C"/>
            <w:u w:val="single"/>
          </w:rPr>
          <w:t xml:space="preserve">§ 67 Eintragung im Aktienregister</w:t>
        </w:r>
      </w:hyperlink>
    </w:p>
    <w:p>
      <w:pPr>
        <w:pStyle w:val="Übersicht"/>
        <w:ind w:left="680"/>
      </w:pPr>
      <w:hyperlink w:anchor="b75" w:history="1">
        <w:r>
          <w:rPr>
            <w:color w:val="0A3A8C"/>
            <w:u w:val="single"/>
          </w:rPr>
          <w:t xml:space="preserve">§ 67a Übermittlung von Informationen über Unternehmensereignisse; Begriffsbestimmungen</w:t>
        </w:r>
      </w:hyperlink>
    </w:p>
    <w:p>
      <w:pPr>
        <w:pStyle w:val="Übersicht"/>
        <w:ind w:left="680"/>
      </w:pPr>
      <w:hyperlink w:anchor="b76" w:history="1">
        <w:r>
          <w:rPr>
            <w:color w:val="0A3A8C"/>
            <w:u w:val="single"/>
          </w:rPr>
          <w:t xml:space="preserve">§ 67b Übermittlung von Informationen durch Intermediäre an die Aktionäre</w:t>
        </w:r>
      </w:hyperlink>
    </w:p>
    <w:p>
      <w:pPr>
        <w:pStyle w:val="Übersicht"/>
        <w:ind w:left="680"/>
      </w:pPr>
      <w:hyperlink w:anchor="b77" w:history="1">
        <w:r>
          <w:rPr>
            <w:color w:val="0A3A8C"/>
            <w:u w:val="single"/>
          </w:rPr>
          <w:t xml:space="preserve">§ 67c Übermittlung von Informationen durch Intermediäre an die Gesellschaft; Nachweis des Anteilsbesitzes</w:t>
        </w:r>
      </w:hyperlink>
    </w:p>
    <w:p>
      <w:pPr>
        <w:pStyle w:val="Übersicht"/>
        <w:ind w:left="680"/>
      </w:pPr>
      <w:hyperlink w:anchor="b78" w:history="1">
        <w:r>
          <w:rPr>
            <w:color w:val="0A3A8C"/>
            <w:u w:val="single"/>
          </w:rPr>
          <w:t xml:space="preserve">§ 67d Informationsanspruch der Gesellschaft gegenüber Intermediären</w:t>
        </w:r>
      </w:hyperlink>
    </w:p>
    <w:p>
      <w:pPr>
        <w:pStyle w:val="Übersicht"/>
        <w:ind w:left="680"/>
      </w:pPr>
      <w:hyperlink w:anchor="b79" w:history="1">
        <w:r>
          <w:rPr>
            <w:color w:val="0A3A8C"/>
            <w:u w:val="single"/>
          </w:rPr>
          <w:t xml:space="preserve">§ 67e Verarbeitung und Berichtigung personenbezogener Daten der Aktionäre</w:t>
        </w:r>
      </w:hyperlink>
    </w:p>
    <w:p>
      <w:pPr>
        <w:pStyle w:val="Übersicht"/>
        <w:ind w:left="680"/>
      </w:pPr>
      <w:hyperlink w:anchor="b80" w:history="1">
        <w:r>
          <w:rPr>
            <w:color w:val="0A3A8C"/>
            <w:u w:val="single"/>
          </w:rPr>
          <w:t xml:space="preserve">§ 67f Kosten; Verordnungsermächtigung</w:t>
        </w:r>
      </w:hyperlink>
    </w:p>
    <w:p>
      <w:pPr>
        <w:pStyle w:val="Übersicht"/>
        <w:ind w:left="680"/>
      </w:pPr>
      <w:hyperlink w:anchor="b81" w:history="1">
        <w:r>
          <w:rPr>
            <w:color w:val="0A3A8C"/>
            <w:u w:val="single"/>
          </w:rPr>
          <w:t xml:space="preserve">§ 68 Übertragung von Namensaktien. Vinkulierung</w:t>
        </w:r>
      </w:hyperlink>
    </w:p>
    <w:p>
      <w:pPr>
        <w:pStyle w:val="Übersicht"/>
        <w:ind w:left="680"/>
      </w:pPr>
      <w:hyperlink w:anchor="b82" w:history="1">
        <w:r>
          <w:rPr>
            <w:color w:val="0A3A8C"/>
            <w:u w:val="single"/>
          </w:rPr>
          <w:t xml:space="preserve">§ 69 Rechtsgemeinschaft an einer Aktie</w:t>
        </w:r>
      </w:hyperlink>
    </w:p>
    <w:p>
      <w:pPr>
        <w:pStyle w:val="Übersicht"/>
        <w:ind w:left="680"/>
      </w:pPr>
      <w:hyperlink w:anchor="b83" w:history="1">
        <w:r>
          <w:rPr>
            <w:color w:val="0A3A8C"/>
            <w:u w:val="single"/>
          </w:rPr>
          <w:t xml:space="preserve">§ 70 Berechnung der Aktienbesitzzeit</w:t>
        </w:r>
      </w:hyperlink>
    </w:p>
    <w:p>
      <w:pPr>
        <w:pStyle w:val="Übersicht"/>
        <w:ind w:left="680"/>
      </w:pPr>
      <w:hyperlink w:anchor="b84" w:history="1">
        <w:r>
          <w:rPr>
            <w:color w:val="0A3A8C"/>
            <w:u w:val="single"/>
          </w:rPr>
          <w:t xml:space="preserve">§ 71 Erwerb eigener Aktien</w:t>
        </w:r>
      </w:hyperlink>
    </w:p>
    <w:p>
      <w:pPr>
        <w:pStyle w:val="Übersicht"/>
        <w:ind w:left="680"/>
      </w:pPr>
      <w:hyperlink w:anchor="b85" w:history="1">
        <w:r>
          <w:rPr>
            <w:color w:val="0A3A8C"/>
            <w:u w:val="single"/>
          </w:rPr>
          <w:t xml:space="preserve">§ 71a Umgehungsgeschäfte</w:t>
        </w:r>
      </w:hyperlink>
    </w:p>
    <w:p>
      <w:pPr>
        <w:pStyle w:val="Übersicht"/>
        <w:ind w:left="680"/>
      </w:pPr>
      <w:hyperlink w:anchor="b86" w:history="1">
        <w:r>
          <w:rPr>
            <w:color w:val="0A3A8C"/>
            <w:u w:val="single"/>
          </w:rPr>
          <w:t xml:space="preserve">§ 71b Rechte aus eigenen Aktien</w:t>
        </w:r>
      </w:hyperlink>
    </w:p>
    <w:p>
      <w:pPr>
        <w:pStyle w:val="Übersicht"/>
        <w:ind w:left="680"/>
      </w:pPr>
      <w:hyperlink w:anchor="b87" w:history="1">
        <w:r>
          <w:rPr>
            <w:color w:val="0A3A8C"/>
            <w:u w:val="single"/>
          </w:rPr>
          <w:t xml:space="preserve">§ 71c Veräußerung und Einziehung eigener Aktien</w:t>
        </w:r>
      </w:hyperlink>
    </w:p>
    <w:p>
      <w:pPr>
        <w:pStyle w:val="Übersicht"/>
        <w:ind w:left="680"/>
      </w:pPr>
      <w:hyperlink w:anchor="b88" w:history="1">
        <w:r>
          <w:rPr>
            <w:color w:val="0A3A8C"/>
            <w:u w:val="single"/>
          </w:rPr>
          <w:t xml:space="preserve">§ 71d Erwerb eigener Aktien durch Dritte</w:t>
        </w:r>
      </w:hyperlink>
    </w:p>
    <w:p>
      <w:pPr>
        <w:pStyle w:val="Übersicht"/>
        <w:ind w:left="680"/>
      </w:pPr>
      <w:hyperlink w:anchor="b89" w:history="1">
        <w:r>
          <w:rPr>
            <w:color w:val="0A3A8C"/>
            <w:u w:val="single"/>
          </w:rPr>
          <w:t xml:space="preserve">§ 71e Inpfandnahme eigener Aktien</w:t>
        </w:r>
      </w:hyperlink>
    </w:p>
    <w:p>
      <w:pPr>
        <w:pStyle w:val="Übersicht"/>
        <w:ind w:left="680"/>
      </w:pPr>
      <w:hyperlink w:anchor="b90" w:history="1">
        <w:r>
          <w:rPr>
            <w:color w:val="0A3A8C"/>
            <w:u w:val="single"/>
          </w:rPr>
          <w:t xml:space="preserve">§ 72 Kraftloserklärung von Aktien im Aufgebotsverfahren</w:t>
        </w:r>
      </w:hyperlink>
    </w:p>
    <w:p>
      <w:pPr>
        <w:pStyle w:val="Übersicht"/>
        <w:ind w:left="680"/>
      </w:pPr>
      <w:hyperlink w:anchor="b91" w:history="1">
        <w:r>
          <w:rPr>
            <w:color w:val="0A3A8C"/>
            <w:u w:val="single"/>
          </w:rPr>
          <w:t xml:space="preserve">§ 73 Kraftloserklärung von Aktien durch die Gesellschaft</w:t>
        </w:r>
      </w:hyperlink>
    </w:p>
    <w:p>
      <w:pPr>
        <w:pStyle w:val="Übersicht"/>
        <w:ind w:left="680"/>
      </w:pPr>
      <w:hyperlink w:anchor="b92" w:history="1">
        <w:r>
          <w:rPr>
            <w:color w:val="0A3A8C"/>
            <w:u w:val="single"/>
          </w:rPr>
          <w:t xml:space="preserve">§ 74 Neue Urkunden an Stelle beschädigter oder verunstalteter
Aktien oder Zwischenscheine</w:t>
        </w:r>
      </w:hyperlink>
    </w:p>
    <w:p>
      <w:pPr>
        <w:pStyle w:val="Übersicht"/>
        <w:ind w:left="680"/>
      </w:pPr>
      <w:hyperlink w:anchor="b93" w:history="1">
        <w:r>
          <w:rPr>
            <w:color w:val="0A3A8C"/>
            <w:u w:val="single"/>
          </w:rPr>
          <w:t xml:space="preserve">§ 75 Neue Gewinnanteilscheine</w:t>
        </w:r>
      </w:hyperlink>
    </w:p>
    <w:p>
      <w:pPr>
        <w:pStyle w:val="Übersicht"/>
        <w:ind w:left="340"/>
      </w:pPr>
      <w:hyperlink w:anchor="b94" w:history="1">
        <w:r>
          <w:rPr>
            <w:b/>
            <w:color w:val="0A3A8C"/>
            <w:u w:val="single"/>
          </w:rPr>
          <w:t xml:space="preserve">Vierter Teil Verfassung der Aktiengesellschaft</w:t>
        </w:r>
      </w:hyperlink>
    </w:p>
    <w:p>
      <w:pPr>
        <w:pStyle w:val="Übersicht"/>
        <w:ind w:left="680"/>
      </w:pPr>
      <w:hyperlink w:anchor="b95" w:history="1">
        <w:r>
          <w:rPr>
            <w:b/>
            <w:color w:val="0A3A8C"/>
            <w:u w:val="single"/>
          </w:rPr>
          <w:t xml:space="preserve">Erster Abschnitt Vorstand</w:t>
        </w:r>
      </w:hyperlink>
    </w:p>
    <w:p>
      <w:pPr>
        <w:pStyle w:val="Übersicht"/>
        <w:ind w:left="1020"/>
      </w:pPr>
      <w:hyperlink w:anchor="b96" w:history="1">
        <w:r>
          <w:rPr>
            <w:color w:val="0A3A8C"/>
            <w:u w:val="single"/>
          </w:rPr>
          <w:t xml:space="preserve">§ 76 Leitung der Aktiengesellschaft</w:t>
        </w:r>
      </w:hyperlink>
    </w:p>
    <w:p>
      <w:pPr>
        <w:pStyle w:val="Übersicht"/>
        <w:ind w:left="1020"/>
      </w:pPr>
      <w:hyperlink w:anchor="b97" w:history="1">
        <w:r>
          <w:rPr>
            <w:color w:val="0A3A8C"/>
            <w:u w:val="single"/>
          </w:rPr>
          <w:t xml:space="preserve">§ 77 Geschäftsführung</w:t>
        </w:r>
      </w:hyperlink>
    </w:p>
    <w:p>
      <w:pPr>
        <w:pStyle w:val="Übersicht"/>
        <w:ind w:left="1020"/>
      </w:pPr>
      <w:hyperlink w:anchor="b98" w:history="1">
        <w:r>
          <w:rPr>
            <w:color w:val="0A3A8C"/>
            <w:u w:val="single"/>
          </w:rPr>
          <w:t xml:space="preserve">§ 78 Vertretung</w:t>
        </w:r>
      </w:hyperlink>
    </w:p>
    <w:p>
      <w:pPr>
        <w:pStyle w:val="Übersicht"/>
        <w:ind w:left="1020"/>
      </w:pPr>
      <w:hyperlink w:anchor="b99" w:history="1">
        <w:r>
          <w:rPr>
            <w:color w:val="0A3A8C"/>
            <w:u w:val="single"/>
          </w:rPr>
          <w:t xml:space="preserve">§ 79 (weggefallen)</w:t>
        </w:r>
      </w:hyperlink>
    </w:p>
    <w:p>
      <w:pPr>
        <w:pStyle w:val="Übersicht"/>
        <w:ind w:left="1020"/>
      </w:pPr>
      <w:hyperlink w:anchor="b100" w:history="1">
        <w:r>
          <w:rPr>
            <w:color w:val="0A3A8C"/>
            <w:u w:val="single"/>
          </w:rPr>
          <w:t xml:space="preserve">§ 80 Angaben auf Geschäftsbriefen</w:t>
        </w:r>
      </w:hyperlink>
    </w:p>
    <w:p>
      <w:pPr>
        <w:pStyle w:val="Übersicht"/>
        <w:ind w:left="1020"/>
      </w:pPr>
      <w:hyperlink w:anchor="b101" w:history="1">
        <w:r>
          <w:rPr>
            <w:color w:val="0A3A8C"/>
            <w:u w:val="single"/>
          </w:rPr>
          <w:t xml:space="preserve">§ 81 Änderung des Vorstands und der Vertretungsbefugnis seiner Mitglieder</w:t>
        </w:r>
      </w:hyperlink>
    </w:p>
    <w:p>
      <w:pPr>
        <w:pStyle w:val="Übersicht"/>
        <w:ind w:left="1020"/>
      </w:pPr>
      <w:hyperlink w:anchor="b102" w:history="1">
        <w:r>
          <w:rPr>
            <w:color w:val="0A3A8C"/>
            <w:u w:val="single"/>
          </w:rPr>
          <w:t xml:space="preserve">§ 82 Beschränkungen der Vertretungs- und Geschäftsführungsbefugnis</w:t>
        </w:r>
      </w:hyperlink>
    </w:p>
    <w:p>
      <w:pPr>
        <w:pStyle w:val="Übersicht"/>
        <w:ind w:left="1020"/>
      </w:pPr>
      <w:hyperlink w:anchor="b103" w:history="1">
        <w:r>
          <w:rPr>
            <w:color w:val="0A3A8C"/>
            <w:u w:val="single"/>
          </w:rPr>
          <w:t xml:space="preserve">§ 83 Vorbereitung und Ausführung von
Hauptversammlungsbeschlüssen</w:t>
        </w:r>
      </w:hyperlink>
    </w:p>
    <w:p>
      <w:pPr>
        <w:pStyle w:val="Übersicht"/>
        <w:ind w:left="1020"/>
      </w:pPr>
      <w:hyperlink w:anchor="b104" w:history="1">
        <w:r>
          <w:rPr>
            <w:color w:val="0A3A8C"/>
            <w:u w:val="single"/>
          </w:rPr>
          <w:t xml:space="preserve">§ 84 Bestellung und Abberufung des Vorstands</w:t>
        </w:r>
      </w:hyperlink>
    </w:p>
    <w:p>
      <w:pPr>
        <w:pStyle w:val="Übersicht"/>
        <w:ind w:left="1020"/>
      </w:pPr>
      <w:hyperlink w:anchor="b105" w:history="1">
        <w:r>
          <w:rPr>
            <w:color w:val="0A3A8C"/>
            <w:u w:val="single"/>
          </w:rPr>
          <w:t xml:space="preserve">§ 85 Bestellung durch das Gericht</w:t>
        </w:r>
      </w:hyperlink>
    </w:p>
    <w:p>
      <w:pPr>
        <w:pStyle w:val="Übersicht"/>
        <w:ind w:left="1020"/>
      </w:pPr>
      <w:hyperlink w:anchor="b106" w:history="1">
        <w:r>
          <w:rPr>
            <w:color w:val="0A3A8C"/>
            <w:u w:val="single"/>
          </w:rPr>
          <w:t xml:space="preserve">§ 86</w:t>
        </w:r>
      </w:hyperlink>
    </w:p>
    <w:p>
      <w:pPr>
        <w:pStyle w:val="Übersicht"/>
        <w:ind w:left="1020"/>
      </w:pPr>
      <w:hyperlink w:anchor="b107" w:history="1">
        <w:r>
          <w:rPr>
            <w:color w:val="0A3A8C"/>
            <w:u w:val="single"/>
          </w:rPr>
          <w:t xml:space="preserve">§ 87 Grundsätze für die Bezüge der Vorstandsmitglieder</w:t>
        </w:r>
      </w:hyperlink>
    </w:p>
    <w:p>
      <w:pPr>
        <w:pStyle w:val="Übersicht"/>
        <w:ind w:left="1020"/>
      </w:pPr>
      <w:hyperlink w:anchor="b108" w:history="1">
        <w:r>
          <w:rPr>
            <w:color w:val="0A3A8C"/>
            <w:u w:val="single"/>
          </w:rPr>
          <w:t xml:space="preserve">§ 87a Vergütungssystem börsennotierter Gesellschaften</w:t>
        </w:r>
      </w:hyperlink>
    </w:p>
    <w:p>
      <w:pPr>
        <w:pStyle w:val="Übersicht"/>
        <w:ind w:left="1020"/>
      </w:pPr>
      <w:hyperlink w:anchor="b109" w:history="1">
        <w:r>
          <w:rPr>
            <w:color w:val="0A3A8C"/>
            <w:u w:val="single"/>
          </w:rPr>
          <w:t xml:space="preserve">§ 88 Wettbewerbsverbot</w:t>
        </w:r>
      </w:hyperlink>
    </w:p>
    <w:p>
      <w:pPr>
        <w:pStyle w:val="Übersicht"/>
        <w:ind w:left="1020"/>
      </w:pPr>
      <w:hyperlink w:anchor="b110" w:history="1">
        <w:r>
          <w:rPr>
            <w:color w:val="0A3A8C"/>
            <w:u w:val="single"/>
          </w:rPr>
          <w:t xml:space="preserve">§ 89 Kreditgewährung an Vorstandsmitglieder</w:t>
        </w:r>
      </w:hyperlink>
    </w:p>
    <w:p>
      <w:pPr>
        <w:pStyle w:val="Übersicht"/>
        <w:ind w:left="1020"/>
      </w:pPr>
      <w:hyperlink w:anchor="b111" w:history="1">
        <w:r>
          <w:rPr>
            <w:color w:val="0A3A8C"/>
            <w:u w:val="single"/>
          </w:rPr>
          <w:t xml:space="preserve">§ 90 Berichte an den Aufsichtsrat</w:t>
        </w:r>
      </w:hyperlink>
    </w:p>
    <w:p>
      <w:pPr>
        <w:pStyle w:val="Übersicht"/>
        <w:ind w:left="1020"/>
      </w:pPr>
      <w:hyperlink w:anchor="b112" w:history="1">
        <w:r>
          <w:rPr>
            <w:color w:val="0A3A8C"/>
            <w:u w:val="single"/>
          </w:rPr>
          <w:t xml:space="preserve">§ 91 Organisation. Buchführung</w:t>
        </w:r>
      </w:hyperlink>
    </w:p>
    <w:p>
      <w:pPr>
        <w:pStyle w:val="Übersicht"/>
        <w:ind w:left="1020"/>
      </w:pPr>
      <w:hyperlink w:anchor="b113" w:history="1">
        <w:r>
          <w:rPr>
            <w:color w:val="0A3A8C"/>
            <w:u w:val="single"/>
          </w:rPr>
          <w:t xml:space="preserve">§ 92 Vorstandspflichten bei Verlust, Überschuldung oder Zahlungsunfähigkeit</w:t>
        </w:r>
      </w:hyperlink>
    </w:p>
    <w:p>
      <w:pPr>
        <w:pStyle w:val="Übersicht"/>
        <w:ind w:left="1020"/>
      </w:pPr>
      <w:hyperlink w:anchor="b114" w:history="1">
        <w:r>
          <w:rPr>
            <w:color w:val="0A3A8C"/>
            <w:u w:val="single"/>
          </w:rPr>
          <w:t xml:space="preserve">§ 93 Sorgfaltspflicht und Verantwortlichkeit der Vorstandsmitglieder</w:t>
        </w:r>
      </w:hyperlink>
    </w:p>
    <w:p>
      <w:pPr>
        <w:pStyle w:val="Übersicht"/>
        <w:ind w:left="1020"/>
      </w:pPr>
      <w:hyperlink w:anchor="b115" w:history="1">
        <w:r>
          <w:rPr>
            <w:color w:val="0A3A8C"/>
            <w:u w:val="single"/>
          </w:rPr>
          <w:t xml:space="preserve">§ 94 Stellvertreter von Vorstandsmitgliedern</w:t>
        </w:r>
      </w:hyperlink>
    </w:p>
    <w:p>
      <w:pPr>
        <w:pStyle w:val="Übersicht"/>
        <w:ind w:left="680"/>
      </w:pPr>
      <w:hyperlink w:anchor="b116" w:history="1">
        <w:r>
          <w:rPr>
            <w:b/>
            <w:color w:val="0A3A8C"/>
            <w:u w:val="single"/>
          </w:rPr>
          <w:t xml:space="preserve">Zweiter Abschnitt Aufsichtsrat</w:t>
        </w:r>
      </w:hyperlink>
    </w:p>
    <w:p>
      <w:pPr>
        <w:pStyle w:val="Übersicht"/>
        <w:ind w:left="1020"/>
      </w:pPr>
      <w:hyperlink w:anchor="b117" w:history="1">
        <w:r>
          <w:rPr>
            <w:color w:val="0A3A8C"/>
            <w:u w:val="single"/>
          </w:rPr>
          <w:t xml:space="preserve">§ 95 Zahl der Aufsichtsratsmitglieder</w:t>
        </w:r>
      </w:hyperlink>
    </w:p>
    <w:p>
      <w:pPr>
        <w:pStyle w:val="Übersicht"/>
        <w:ind w:left="1020"/>
      </w:pPr>
      <w:hyperlink w:anchor="b118" w:history="1">
        <w:r>
          <w:rPr>
            <w:color w:val="0A3A8C"/>
            <w:u w:val="single"/>
          </w:rPr>
          <w:t xml:space="preserve">§ 96 Zusammensetzung des Aufsichtsrats</w:t>
        </w:r>
      </w:hyperlink>
    </w:p>
    <w:p>
      <w:pPr>
        <w:pStyle w:val="Übersicht"/>
        <w:ind w:left="1020"/>
      </w:pPr>
      <w:hyperlink w:anchor="b119" w:history="1">
        <w:r>
          <w:rPr>
            <w:color w:val="0A3A8C"/>
            <w:u w:val="single"/>
          </w:rPr>
          <w:t xml:space="preserve">§ 97 Bekanntmachung über die Zusammensetzung des Aufsichtsrats</w:t>
        </w:r>
      </w:hyperlink>
    </w:p>
    <w:p>
      <w:pPr>
        <w:pStyle w:val="Übersicht"/>
        <w:ind w:left="1020"/>
      </w:pPr>
      <w:hyperlink w:anchor="b120" w:history="1">
        <w:r>
          <w:rPr>
            <w:color w:val="0A3A8C"/>
            <w:u w:val="single"/>
          </w:rPr>
          <w:t xml:space="preserve">§ 98 Gerichtliche Entscheidung über die Zusammensetzung des Aufsichtsrats</w:t>
        </w:r>
      </w:hyperlink>
    </w:p>
    <w:p>
      <w:pPr>
        <w:pStyle w:val="Übersicht"/>
        <w:ind w:left="1020"/>
      </w:pPr>
      <w:hyperlink w:anchor="b121" w:history="1">
        <w:r>
          <w:rPr>
            <w:color w:val="0A3A8C"/>
            <w:u w:val="single"/>
          </w:rPr>
          <w:t xml:space="preserve">§ 99 Verfahren</w:t>
        </w:r>
      </w:hyperlink>
    </w:p>
    <w:p>
      <w:pPr>
        <w:pStyle w:val="Übersicht"/>
        <w:ind w:left="1020"/>
      </w:pPr>
      <w:hyperlink w:anchor="b122" w:history="1">
        <w:r>
          <w:rPr>
            <w:color w:val="0A3A8C"/>
            <w:u w:val="single"/>
          </w:rPr>
          <w:t xml:space="preserve">§ 100 Persönliche Voraussetzungen für Aufsichtsratsmitglieder</w:t>
        </w:r>
      </w:hyperlink>
    </w:p>
    <w:p>
      <w:pPr>
        <w:pStyle w:val="Übersicht"/>
        <w:ind w:left="1020"/>
      </w:pPr>
      <w:hyperlink w:anchor="b123" w:history="1">
        <w:r>
          <w:rPr>
            <w:color w:val="0A3A8C"/>
            <w:u w:val="single"/>
          </w:rPr>
          <w:t xml:space="preserve">§ 101 Bestellung der Aufsichtsratsmitglieder</w:t>
        </w:r>
      </w:hyperlink>
    </w:p>
    <w:p>
      <w:pPr>
        <w:pStyle w:val="Übersicht"/>
        <w:ind w:left="1020"/>
      </w:pPr>
      <w:hyperlink w:anchor="b124" w:history="1">
        <w:r>
          <w:rPr>
            <w:color w:val="0A3A8C"/>
            <w:u w:val="single"/>
          </w:rPr>
          <w:t xml:space="preserve">§ 102 Amtszeit der Aufsichtsratsmitglieder</w:t>
        </w:r>
      </w:hyperlink>
    </w:p>
    <w:p>
      <w:pPr>
        <w:pStyle w:val="Übersicht"/>
        <w:ind w:left="1020"/>
      </w:pPr>
      <w:hyperlink w:anchor="b125" w:history="1">
        <w:r>
          <w:rPr>
            <w:color w:val="0A3A8C"/>
            <w:u w:val="single"/>
          </w:rPr>
          <w:t xml:space="preserve">§ 103 Abberufung der Aufsichtsratsmitglieder</w:t>
        </w:r>
      </w:hyperlink>
    </w:p>
    <w:p>
      <w:pPr>
        <w:pStyle w:val="Übersicht"/>
        <w:ind w:left="1020"/>
      </w:pPr>
      <w:hyperlink w:anchor="b126" w:history="1">
        <w:r>
          <w:rPr>
            <w:color w:val="0A3A8C"/>
            <w:u w:val="single"/>
          </w:rPr>
          <w:t xml:space="preserve">§ 104 Bestellung durch das Gericht</w:t>
        </w:r>
      </w:hyperlink>
    </w:p>
    <w:p>
      <w:pPr>
        <w:pStyle w:val="Übersicht"/>
        <w:ind w:left="1020"/>
      </w:pPr>
      <w:hyperlink w:anchor="b127" w:history="1">
        <w:r>
          <w:rPr>
            <w:color w:val="0A3A8C"/>
            <w:u w:val="single"/>
          </w:rPr>
          <w:t xml:space="preserve">§ 105 Unvereinbarkeit der Zugehörigkeit zum Vorstand und zum Aufsichtsrat</w:t>
        </w:r>
      </w:hyperlink>
    </w:p>
    <w:p>
      <w:pPr>
        <w:pStyle w:val="Übersicht"/>
        <w:ind w:left="1020"/>
      </w:pPr>
      <w:hyperlink w:anchor="b128" w:history="1">
        <w:r>
          <w:rPr>
            <w:color w:val="0A3A8C"/>
            <w:u w:val="single"/>
          </w:rPr>
          <w:t xml:space="preserve">§ 106 Bekanntmachung der Änderungen im Aufsichtsrat</w:t>
        </w:r>
      </w:hyperlink>
    </w:p>
    <w:p>
      <w:pPr>
        <w:pStyle w:val="Übersicht"/>
        <w:ind w:left="1020"/>
      </w:pPr>
      <w:hyperlink w:anchor="b129" w:history="1">
        <w:r>
          <w:rPr>
            <w:color w:val="0A3A8C"/>
            <w:u w:val="single"/>
          </w:rPr>
          <w:t xml:space="preserve">§ 107 Innere Ordnung des Aufsichtsrats</w:t>
        </w:r>
      </w:hyperlink>
    </w:p>
    <w:p>
      <w:pPr>
        <w:pStyle w:val="Übersicht"/>
        <w:ind w:left="1020"/>
      </w:pPr>
      <w:hyperlink w:anchor="b130" w:history="1">
        <w:r>
          <w:rPr>
            <w:color w:val="0A3A8C"/>
            <w:u w:val="single"/>
          </w:rPr>
          <w:t xml:space="preserve">§ 108 Beschlußfassung des Aufsichtsrats</w:t>
        </w:r>
      </w:hyperlink>
    </w:p>
    <w:p>
      <w:pPr>
        <w:pStyle w:val="Übersicht"/>
        <w:ind w:left="1020"/>
      </w:pPr>
      <w:hyperlink w:anchor="b131" w:history="1">
        <w:r>
          <w:rPr>
            <w:color w:val="0A3A8C"/>
            <w:u w:val="single"/>
          </w:rPr>
          <w:t xml:space="preserve">§ 109 Teilnahme an Sitzungen des Aufsichtsrats und seiner Ausschüsse</w:t>
        </w:r>
      </w:hyperlink>
    </w:p>
    <w:p>
      <w:pPr>
        <w:pStyle w:val="Übersicht"/>
        <w:ind w:left="1020"/>
      </w:pPr>
      <w:hyperlink w:anchor="b132" w:history="1">
        <w:r>
          <w:rPr>
            <w:color w:val="0A3A8C"/>
            <w:u w:val="single"/>
          </w:rPr>
          <w:t xml:space="preserve">§ 110 Einberufung des Aufsichtsrats</w:t>
        </w:r>
      </w:hyperlink>
    </w:p>
    <w:p>
      <w:pPr>
        <w:pStyle w:val="Übersicht"/>
        <w:ind w:left="1020"/>
      </w:pPr>
      <w:hyperlink w:anchor="b133" w:history="1">
        <w:r>
          <w:rPr>
            <w:color w:val="0A3A8C"/>
            <w:u w:val="single"/>
          </w:rPr>
          <w:t xml:space="preserve">§ 111 Aufgaben und Rechte des Aufsichtsrats</w:t>
        </w:r>
      </w:hyperlink>
    </w:p>
    <w:p>
      <w:pPr>
        <w:pStyle w:val="Übersicht"/>
        <w:ind w:left="1020"/>
      </w:pPr>
      <w:hyperlink w:anchor="b134" w:history="1">
        <w:r>
          <w:rPr>
            <w:color w:val="0A3A8C"/>
            <w:u w:val="single"/>
          </w:rPr>
          <w:t xml:space="preserve">§ 111a Geschäfte mit nahestehenden Personen</w:t>
        </w:r>
      </w:hyperlink>
    </w:p>
    <w:p>
      <w:pPr>
        <w:pStyle w:val="Übersicht"/>
        <w:ind w:left="1020"/>
      </w:pPr>
      <w:hyperlink w:anchor="b135" w:history="1">
        <w:r>
          <w:rPr>
            <w:color w:val="0A3A8C"/>
            <w:u w:val="single"/>
          </w:rPr>
          <w:t xml:space="preserve">§ 111b Zustimmungsvorbehalt des Aufsichtsrats bei Geschäften mit nahestehenden Personen</w:t>
        </w:r>
      </w:hyperlink>
    </w:p>
    <w:p>
      <w:pPr>
        <w:pStyle w:val="Übersicht"/>
        <w:ind w:left="1020"/>
      </w:pPr>
      <w:hyperlink w:anchor="b136" w:history="1">
        <w:r>
          <w:rPr>
            <w:color w:val="0A3A8C"/>
            <w:u w:val="single"/>
          </w:rPr>
          <w:t xml:space="preserve">§ 111c Veröffentlichung von Geschäften mit nahestehenden Personen</w:t>
        </w:r>
      </w:hyperlink>
    </w:p>
    <w:p>
      <w:pPr>
        <w:pStyle w:val="Übersicht"/>
        <w:ind w:left="1020"/>
      </w:pPr>
      <w:hyperlink w:anchor="b137" w:history="1">
        <w:r>
          <w:rPr>
            <w:color w:val="0A3A8C"/>
            <w:u w:val="single"/>
          </w:rPr>
          <w:t xml:space="preserve">§ 112 Vertretung der Gesellschaft gegenüber Vorstandsmitgliedern</w:t>
        </w:r>
      </w:hyperlink>
    </w:p>
    <w:p>
      <w:pPr>
        <w:pStyle w:val="Übersicht"/>
        <w:ind w:left="1020"/>
      </w:pPr>
      <w:hyperlink w:anchor="b138" w:history="1">
        <w:r>
          <w:rPr>
            <w:color w:val="0A3A8C"/>
            <w:u w:val="single"/>
          </w:rPr>
          <w:t xml:space="preserve">§ 113 Vergütung der Aufsichtsratsmitglieder</w:t>
        </w:r>
      </w:hyperlink>
    </w:p>
    <w:p>
      <w:pPr>
        <w:pStyle w:val="Übersicht"/>
        <w:ind w:left="1020"/>
      </w:pPr>
      <w:hyperlink w:anchor="b139" w:history="1">
        <w:r>
          <w:rPr>
            <w:color w:val="0A3A8C"/>
            <w:u w:val="single"/>
          </w:rPr>
          <w:t xml:space="preserve">§ 114 Verträge mit Aufsichtsratsmitgliedern</w:t>
        </w:r>
      </w:hyperlink>
    </w:p>
    <w:p>
      <w:pPr>
        <w:pStyle w:val="Übersicht"/>
        <w:ind w:left="1020"/>
      </w:pPr>
      <w:hyperlink w:anchor="b140" w:history="1">
        <w:r>
          <w:rPr>
            <w:color w:val="0A3A8C"/>
            <w:u w:val="single"/>
          </w:rPr>
          <w:t xml:space="preserve">§ 115 Kreditgewährung an Aufsichtsratsmitglieder</w:t>
        </w:r>
      </w:hyperlink>
    </w:p>
    <w:p>
      <w:pPr>
        <w:pStyle w:val="Übersicht"/>
        <w:ind w:left="1020"/>
      </w:pPr>
      <w:hyperlink w:anchor="b141" w:history="1">
        <w:r>
          <w:rPr>
            <w:color w:val="0A3A8C"/>
            <w:u w:val="single"/>
          </w:rPr>
          <w:t xml:space="preserve">§ 116 Sorgfaltspflicht und Verantwortlichkeit der Aufsichtsratsmitglieder</w:t>
        </w:r>
      </w:hyperlink>
    </w:p>
    <w:p>
      <w:pPr>
        <w:pStyle w:val="Übersicht"/>
        <w:ind w:left="680"/>
      </w:pPr>
      <w:hyperlink w:anchor="b142" w:history="1">
        <w:r>
          <w:rPr>
            <w:b/>
            <w:color w:val="0A3A8C"/>
            <w:u w:val="single"/>
          </w:rPr>
          <w:t xml:space="preserve">Dritter Abschnitt Benutzung des Einflusses
auf die Gesellschaft</w:t>
        </w:r>
      </w:hyperlink>
    </w:p>
    <w:p>
      <w:pPr>
        <w:pStyle w:val="Übersicht"/>
        <w:ind w:left="1020"/>
      </w:pPr>
      <w:hyperlink w:anchor="b143" w:history="1">
        <w:r>
          <w:rPr>
            <w:color w:val="0A3A8C"/>
            <w:u w:val="single"/>
          </w:rPr>
          <w:t xml:space="preserve">§ 117 Schadenersatzpflicht</w:t>
        </w:r>
      </w:hyperlink>
    </w:p>
    <w:p>
      <w:pPr>
        <w:pStyle w:val="Übersicht"/>
        <w:ind w:left="680"/>
      </w:pPr>
      <w:hyperlink w:anchor="b144" w:history="1">
        <w:r>
          <w:rPr>
            <w:b/>
            <w:color w:val="0A3A8C"/>
            <w:u w:val="single"/>
          </w:rPr>
          <w:t xml:space="preserve">Vierter Abschnitt Hauptversammlung</w:t>
        </w:r>
      </w:hyperlink>
    </w:p>
    <w:p>
      <w:pPr>
        <w:pStyle w:val="Übersicht"/>
        <w:ind w:left="1020"/>
      </w:pPr>
      <w:hyperlink w:anchor="b145" w:history="1">
        <w:r>
          <w:rPr>
            <w:b/>
            <w:color w:val="0A3A8C"/>
            <w:u w:val="single"/>
          </w:rPr>
          <w:t xml:space="preserve">Erster Unterabschnitt Rechte der Hauptversammlung</w:t>
        </w:r>
      </w:hyperlink>
    </w:p>
    <w:p>
      <w:pPr>
        <w:pStyle w:val="Übersicht"/>
        <w:ind w:left="1361"/>
      </w:pPr>
      <w:hyperlink w:anchor="b146" w:history="1">
        <w:r>
          <w:rPr>
            <w:color w:val="0A3A8C"/>
            <w:u w:val="single"/>
          </w:rPr>
          <w:t xml:space="preserve">§ 118 Allgemeines</w:t>
        </w:r>
      </w:hyperlink>
    </w:p>
    <w:p>
      <w:pPr>
        <w:pStyle w:val="Übersicht"/>
        <w:ind w:left="1361"/>
      </w:pPr>
      <w:hyperlink w:anchor="b147" w:history="1">
        <w:r>
          <w:rPr>
            <w:color w:val="0A3A8C"/>
            <w:u w:val="single"/>
          </w:rPr>
          <w:t xml:space="preserve">§ 118a Virtuelle Hauptversammlung</w:t>
        </w:r>
      </w:hyperlink>
    </w:p>
    <w:p>
      <w:pPr>
        <w:pStyle w:val="Übersicht"/>
        <w:ind w:left="1361"/>
      </w:pPr>
      <w:hyperlink w:anchor="b148" w:history="1">
        <w:r>
          <w:rPr>
            <w:color w:val="0A3A8C"/>
            <w:u w:val="single"/>
          </w:rPr>
          <w:t xml:space="preserve">§ 119 Rechte der Hauptversammlung</w:t>
        </w:r>
      </w:hyperlink>
    </w:p>
    <w:p>
      <w:pPr>
        <w:pStyle w:val="Übersicht"/>
        <w:ind w:left="1361"/>
      </w:pPr>
      <w:hyperlink w:anchor="b149" w:history="1">
        <w:r>
          <w:rPr>
            <w:color w:val="0A3A8C"/>
            <w:u w:val="single"/>
          </w:rPr>
          <w:t xml:space="preserve">§ 120 Entlastung</w:t>
        </w:r>
      </w:hyperlink>
    </w:p>
    <w:p>
      <w:pPr>
        <w:pStyle w:val="Übersicht"/>
        <w:ind w:left="1361"/>
      </w:pPr>
      <w:hyperlink w:anchor="b150" w:history="1">
        <w:r>
          <w:rPr>
            <w:color w:val="0A3A8C"/>
            <w:u w:val="single"/>
          </w:rPr>
          <w:t xml:space="preserve">§ 120a Votum zum Vergütungssystem und zum Vergütungsbericht</w:t>
        </w:r>
      </w:hyperlink>
    </w:p>
    <w:p>
      <w:pPr>
        <w:pStyle w:val="Übersicht"/>
        <w:ind w:left="1020"/>
      </w:pPr>
      <w:hyperlink w:anchor="b151" w:history="1">
        <w:r>
          <w:rPr>
            <w:b/>
            <w:color w:val="0A3A8C"/>
            <w:u w:val="single"/>
          </w:rPr>
          <w:t xml:space="preserve">Zweiter Unterabschnitt Einberufung der
Hauptversammlung</w:t>
        </w:r>
      </w:hyperlink>
    </w:p>
    <w:p>
      <w:pPr>
        <w:pStyle w:val="Übersicht"/>
        <w:ind w:left="1361"/>
      </w:pPr>
      <w:hyperlink w:anchor="b152" w:history="1">
        <w:r>
          <w:rPr>
            <w:color w:val="0A3A8C"/>
            <w:u w:val="single"/>
          </w:rPr>
          <w:t xml:space="preserve">§ 121 Allgemeines</w:t>
        </w:r>
      </w:hyperlink>
    </w:p>
    <w:p>
      <w:pPr>
        <w:pStyle w:val="Übersicht"/>
        <w:ind w:left="1361"/>
      </w:pPr>
      <w:hyperlink w:anchor="b153" w:history="1">
        <w:r>
          <w:rPr>
            <w:color w:val="0A3A8C"/>
            <w:u w:val="single"/>
          </w:rPr>
          <w:t xml:space="preserve">§ 122 Einberufung auf Verlangen einer Minderheit</w:t>
        </w:r>
      </w:hyperlink>
    </w:p>
    <w:p>
      <w:pPr>
        <w:pStyle w:val="Übersicht"/>
        <w:ind w:left="1361"/>
      </w:pPr>
      <w:hyperlink w:anchor="b154" w:history="1">
        <w:r>
          <w:rPr>
            <w:color w:val="0A3A8C"/>
            <w:u w:val="single"/>
          </w:rPr>
          <w:t xml:space="preserve">§ 123 Frist, Anmeldung zur Hauptversammlung, Nachweis</w:t>
        </w:r>
      </w:hyperlink>
    </w:p>
    <w:p>
      <w:pPr>
        <w:pStyle w:val="Übersicht"/>
        <w:ind w:left="1361"/>
      </w:pPr>
      <w:hyperlink w:anchor="b155" w:history="1">
        <w:r>
          <w:rPr>
            <w:color w:val="0A3A8C"/>
            <w:u w:val="single"/>
          </w:rPr>
          <w:t xml:space="preserve">§ 124 Bekanntmachung von Ergänzungsverlangen; Vorschläge zur Beschlussfassung</w:t>
        </w:r>
      </w:hyperlink>
    </w:p>
    <w:p>
      <w:pPr>
        <w:pStyle w:val="Übersicht"/>
        <w:ind w:left="1361"/>
      </w:pPr>
      <w:hyperlink w:anchor="b156" w:history="1">
        <w:r>
          <w:rPr>
            <w:color w:val="0A3A8C"/>
            <w:u w:val="single"/>
          </w:rPr>
          <w:t xml:space="preserve">§ 124a Veröffentlichungen auf der Internetseite der Gesellschaft</w:t>
        </w:r>
      </w:hyperlink>
    </w:p>
    <w:p>
      <w:pPr>
        <w:pStyle w:val="Übersicht"/>
        <w:ind w:left="1361"/>
      </w:pPr>
      <w:hyperlink w:anchor="b157" w:history="1">
        <w:r>
          <w:rPr>
            <w:color w:val="0A3A8C"/>
            <w:u w:val="single"/>
          </w:rPr>
          <w:t xml:space="preserve">§ 125 Mitteilungen für die Aktionäre und an Aufsichtsratsmitglieder</w:t>
        </w:r>
      </w:hyperlink>
    </w:p>
    <w:p>
      <w:pPr>
        <w:pStyle w:val="Übersicht"/>
        <w:ind w:left="1361"/>
      </w:pPr>
      <w:hyperlink w:anchor="b158" w:history="1">
        <w:r>
          <w:rPr>
            <w:color w:val="0A3A8C"/>
            <w:u w:val="single"/>
          </w:rPr>
          <w:t xml:space="preserve">§ 126 Anträge von Aktionären</w:t>
        </w:r>
      </w:hyperlink>
    </w:p>
    <w:p>
      <w:pPr>
        <w:pStyle w:val="Übersicht"/>
        <w:ind w:left="1361"/>
      </w:pPr>
      <w:hyperlink w:anchor="b159" w:history="1">
        <w:r>
          <w:rPr>
            <w:color w:val="0A3A8C"/>
            <w:u w:val="single"/>
          </w:rPr>
          <w:t xml:space="preserve">§ 127 Wahlvorschläge von Aktionären</w:t>
        </w:r>
      </w:hyperlink>
    </w:p>
    <w:p>
      <w:pPr>
        <w:pStyle w:val="Übersicht"/>
        <w:ind w:left="1361"/>
      </w:pPr>
      <w:hyperlink w:anchor="b160" w:history="1">
        <w:r>
          <w:rPr>
            <w:color w:val="0A3A8C"/>
            <w:u w:val="single"/>
          </w:rPr>
          <w:t xml:space="preserve">§ 127a Aktionärsforum</w:t>
        </w:r>
      </w:hyperlink>
    </w:p>
    <w:p>
      <w:pPr>
        <w:pStyle w:val="Übersicht"/>
        <w:ind w:left="1361"/>
      </w:pPr>
      <w:hyperlink w:anchor="b161" w:history="1">
        <w:r>
          <w:rPr>
            <w:color w:val="0A3A8C"/>
            <w:u w:val="single"/>
          </w:rPr>
          <w:t xml:space="preserve">§ 128 (weggefallen)</w:t>
        </w:r>
      </w:hyperlink>
    </w:p>
    <w:p>
      <w:pPr>
        <w:pStyle w:val="Übersicht"/>
        <w:ind w:left="1020"/>
      </w:pPr>
      <w:hyperlink w:anchor="b162" w:history="1">
        <w:r>
          <w:rPr>
            <w:b/>
            <w:color w:val="0A3A8C"/>
            <w:u w:val="single"/>
          </w:rPr>
          <w:t xml:space="preserve">Dritter Unterabschnitt Verhandlungsniederschrift. Auskunftsrecht</w:t>
        </w:r>
      </w:hyperlink>
    </w:p>
    <w:p>
      <w:pPr>
        <w:pStyle w:val="Übersicht"/>
        <w:ind w:left="1361"/>
      </w:pPr>
      <w:hyperlink w:anchor="b163" w:history="1">
        <w:r>
          <w:rPr>
            <w:color w:val="0A3A8C"/>
            <w:u w:val="single"/>
          </w:rPr>
          <w:t xml:space="preserve">§ 129 Geschäftsordnung; Verzeichnis der Teilnehmer; Nachweis der Stimmzählung</w:t>
        </w:r>
      </w:hyperlink>
    </w:p>
    <w:p>
      <w:pPr>
        <w:pStyle w:val="Übersicht"/>
        <w:ind w:left="1361"/>
      </w:pPr>
      <w:hyperlink w:anchor="b164" w:history="1">
        <w:r>
          <w:rPr>
            <w:color w:val="0A3A8C"/>
            <w:u w:val="single"/>
          </w:rPr>
          <w:t xml:space="preserve">§ 130 Niederschrift</w:t>
        </w:r>
      </w:hyperlink>
    </w:p>
    <w:p>
      <w:pPr>
        <w:pStyle w:val="Übersicht"/>
        <w:ind w:left="1361"/>
      </w:pPr>
      <w:hyperlink w:anchor="b165" w:history="1">
        <w:r>
          <w:rPr>
            <w:color w:val="0A3A8C"/>
            <w:u w:val="single"/>
          </w:rPr>
          <w:t xml:space="preserve">§ 130a Stellungnahme- und Rederecht bei virtuellen Hauptversammlungen</w:t>
        </w:r>
      </w:hyperlink>
    </w:p>
    <w:p>
      <w:pPr>
        <w:pStyle w:val="Übersicht"/>
        <w:ind w:left="1361"/>
      </w:pPr>
      <w:hyperlink w:anchor="b166" w:history="1">
        <w:r>
          <w:rPr>
            <w:color w:val="0A3A8C"/>
            <w:u w:val="single"/>
          </w:rPr>
          <w:t xml:space="preserve">§ 131 Auskunftsrecht des Aktionärs</w:t>
        </w:r>
      </w:hyperlink>
    </w:p>
    <w:p>
      <w:pPr>
        <w:pStyle w:val="Übersicht"/>
        <w:ind w:left="1361"/>
      </w:pPr>
      <w:hyperlink w:anchor="b167" w:history="1">
        <w:r>
          <w:rPr>
            <w:color w:val="0A3A8C"/>
            <w:u w:val="single"/>
          </w:rPr>
          <w:t xml:space="preserve">§ 132 Gerichtliche Entscheidung über das Auskunftsrecht</w:t>
        </w:r>
      </w:hyperlink>
    </w:p>
    <w:p>
      <w:pPr>
        <w:pStyle w:val="Übersicht"/>
        <w:ind w:left="1020"/>
      </w:pPr>
      <w:hyperlink w:anchor="b168" w:history="1">
        <w:r>
          <w:rPr>
            <w:b/>
            <w:color w:val="0A3A8C"/>
            <w:u w:val="single"/>
          </w:rPr>
          <w:t xml:space="preserve">Vierter Unterabschnitt Stimmrecht</w:t>
        </w:r>
      </w:hyperlink>
    </w:p>
    <w:p>
      <w:pPr>
        <w:pStyle w:val="Übersicht"/>
        <w:ind w:left="1361"/>
      </w:pPr>
      <w:hyperlink w:anchor="b169" w:history="1">
        <w:r>
          <w:rPr>
            <w:color w:val="0A3A8C"/>
            <w:u w:val="single"/>
          </w:rPr>
          <w:t xml:space="preserve">§ 133 Grundsatz der einfachen Stimmenmehrheit</w:t>
        </w:r>
      </w:hyperlink>
    </w:p>
    <w:p>
      <w:pPr>
        <w:pStyle w:val="Übersicht"/>
        <w:ind w:left="1361"/>
      </w:pPr>
      <w:hyperlink w:anchor="b170" w:history="1">
        <w:r>
          <w:rPr>
            <w:color w:val="0A3A8C"/>
            <w:u w:val="single"/>
          </w:rPr>
          <w:t xml:space="preserve">§ 134 Stimmrecht</w:t>
        </w:r>
      </w:hyperlink>
    </w:p>
    <w:p>
      <w:pPr>
        <w:pStyle w:val="Übersicht"/>
        <w:ind w:left="1361"/>
      </w:pPr>
      <w:hyperlink w:anchor="b171" w:history="1">
        <w:r>
          <w:rPr>
            <w:color w:val="0A3A8C"/>
            <w:u w:val="single"/>
          </w:rPr>
          <w:t xml:space="preserve">§ 134a Begriffsbestimmungen; Anwendungsbereich</w:t>
        </w:r>
      </w:hyperlink>
    </w:p>
    <w:p>
      <w:pPr>
        <w:pStyle w:val="Übersicht"/>
        <w:ind w:left="1361"/>
      </w:pPr>
      <w:hyperlink w:anchor="b172" w:history="1">
        <w:r>
          <w:rPr>
            <w:color w:val="0A3A8C"/>
            <w:u w:val="single"/>
          </w:rPr>
          <w:t xml:space="preserve">§ 134b Mitwirkungspolitik, Mitwirkungsbericht, Abstimmungsverhalten</w:t>
        </w:r>
      </w:hyperlink>
    </w:p>
    <w:p>
      <w:pPr>
        <w:pStyle w:val="Übersicht"/>
        <w:ind w:left="1361"/>
      </w:pPr>
      <w:hyperlink w:anchor="b173" w:history="1">
        <w:r>
          <w:rPr>
            <w:color w:val="0A3A8C"/>
            <w:u w:val="single"/>
          </w:rPr>
          <w:t xml:space="preserve">§ 134c Offenlegungspflichten von institutionellen Anlegern und Vermögensverwaltern</w:t>
        </w:r>
      </w:hyperlink>
    </w:p>
    <w:p>
      <w:pPr>
        <w:pStyle w:val="Übersicht"/>
        <w:ind w:left="1361"/>
      </w:pPr>
      <w:hyperlink w:anchor="b174" w:history="1">
        <w:r>
          <w:rPr>
            <w:color w:val="0A3A8C"/>
            <w:u w:val="single"/>
          </w:rPr>
          <w:t xml:space="preserve">§ 134d Offenlegungspflichten der Stimmrechtsberater</w:t>
        </w:r>
      </w:hyperlink>
    </w:p>
    <w:p>
      <w:pPr>
        <w:pStyle w:val="Übersicht"/>
        <w:ind w:left="1361"/>
      </w:pPr>
      <w:hyperlink w:anchor="b175" w:history="1">
        <w:r>
          <w:rPr>
            <w:color w:val="0A3A8C"/>
            <w:u w:val="single"/>
          </w:rPr>
          <w:t xml:space="preserve">§ 135 Ausübung des Stimmrechts durch Intermediäre und geschäftsmäßig Handelnde</w:t>
        </w:r>
      </w:hyperlink>
    </w:p>
    <w:p>
      <w:pPr>
        <w:pStyle w:val="Übersicht"/>
        <w:ind w:left="1361"/>
      </w:pPr>
      <w:hyperlink w:anchor="b176" w:history="1">
        <w:r>
          <w:rPr>
            <w:color w:val="0A3A8C"/>
            <w:u w:val="single"/>
          </w:rPr>
          <w:t xml:space="preserve">§ 135a Mehrstimmrechtsaktien</w:t>
        </w:r>
      </w:hyperlink>
    </w:p>
    <w:p>
      <w:pPr>
        <w:pStyle w:val="Übersicht"/>
        <w:ind w:left="1361"/>
      </w:pPr>
      <w:hyperlink w:anchor="b177" w:history="1">
        <w:r>
          <w:rPr>
            <w:color w:val="0A3A8C"/>
            <w:u w:val="single"/>
          </w:rPr>
          <w:t xml:space="preserve">§ 136 Ausschluß des Stimmrechts</w:t>
        </w:r>
      </w:hyperlink>
    </w:p>
    <w:p>
      <w:pPr>
        <w:pStyle w:val="Übersicht"/>
        <w:ind w:left="1361"/>
      </w:pPr>
      <w:hyperlink w:anchor="b178" w:history="1">
        <w:r>
          <w:rPr>
            <w:color w:val="0A3A8C"/>
            <w:u w:val="single"/>
          </w:rPr>
          <w:t xml:space="preserve">§ 137 Abstimmung über Wahlvorschläge von Aktionären</w:t>
        </w:r>
      </w:hyperlink>
    </w:p>
    <w:p>
      <w:pPr>
        <w:pStyle w:val="Übersicht"/>
        <w:ind w:left="1020"/>
      </w:pPr>
      <w:hyperlink w:anchor="b179" w:history="1">
        <w:r>
          <w:rPr>
            <w:b/>
            <w:color w:val="0A3A8C"/>
            <w:u w:val="single"/>
          </w:rPr>
          <w:t xml:space="preserve">Fünfter Unterabschnitt Sonderbeschluß</w:t>
        </w:r>
      </w:hyperlink>
    </w:p>
    <w:p>
      <w:pPr>
        <w:pStyle w:val="Übersicht"/>
        <w:ind w:left="1361"/>
      </w:pPr>
      <w:hyperlink w:anchor="b180" w:history="1">
        <w:r>
          <w:rPr>
            <w:color w:val="0A3A8C"/>
            <w:u w:val="single"/>
          </w:rPr>
          <w:t xml:space="preserve">§ 138 Gesonderte Versammlung. Gesonderte Abstimmung</w:t>
        </w:r>
      </w:hyperlink>
    </w:p>
    <w:p>
      <w:pPr>
        <w:pStyle w:val="Übersicht"/>
        <w:ind w:left="1020"/>
      </w:pPr>
      <w:hyperlink w:anchor="b181" w:history="1">
        <w:r>
          <w:rPr>
            <w:b/>
            <w:color w:val="0A3A8C"/>
            <w:u w:val="single"/>
          </w:rPr>
          <w:t xml:space="preserve">Sechster Unterabschnitt Vorzugsaktien
ohne Stimmrecht</w:t>
        </w:r>
      </w:hyperlink>
    </w:p>
    <w:p>
      <w:pPr>
        <w:pStyle w:val="Übersicht"/>
        <w:ind w:left="1361"/>
      </w:pPr>
      <w:hyperlink w:anchor="b182" w:history="1">
        <w:r>
          <w:rPr>
            <w:color w:val="0A3A8C"/>
            <w:u w:val="single"/>
          </w:rPr>
          <w:t xml:space="preserve">§ 139 Wesen</w:t>
        </w:r>
      </w:hyperlink>
    </w:p>
    <w:p>
      <w:pPr>
        <w:pStyle w:val="Übersicht"/>
        <w:ind w:left="1361"/>
      </w:pPr>
      <w:hyperlink w:anchor="b183" w:history="1">
        <w:r>
          <w:rPr>
            <w:color w:val="0A3A8C"/>
            <w:u w:val="single"/>
          </w:rPr>
          <w:t xml:space="preserve">§ 140 Rechte der Vorzugsaktionäre</w:t>
        </w:r>
      </w:hyperlink>
    </w:p>
    <w:p>
      <w:pPr>
        <w:pStyle w:val="Übersicht"/>
        <w:ind w:left="1361"/>
      </w:pPr>
      <w:hyperlink w:anchor="b184" w:history="1">
        <w:r>
          <w:rPr>
            <w:color w:val="0A3A8C"/>
            <w:u w:val="single"/>
          </w:rPr>
          <w:t xml:space="preserve">§ 141 Aufhebung oder Beschränkung des Vorzugs</w:t>
        </w:r>
      </w:hyperlink>
    </w:p>
    <w:p>
      <w:pPr>
        <w:pStyle w:val="Übersicht"/>
        <w:ind w:left="1020"/>
      </w:pPr>
      <w:hyperlink w:anchor="b185" w:history="1">
        <w:r>
          <w:rPr>
            <w:b/>
            <w:color w:val="0A3A8C"/>
            <w:u w:val="single"/>
          </w:rPr>
          <w:t xml:space="preserve">Siebenter Unterabschnitt Sonderprüfung.
Geltendmachung von Ersatzansprüchen</w:t>
        </w:r>
      </w:hyperlink>
    </w:p>
    <w:p>
      <w:pPr>
        <w:pStyle w:val="Übersicht"/>
        <w:ind w:left="1361"/>
      </w:pPr>
      <w:hyperlink w:anchor="b186" w:history="1">
        <w:r>
          <w:rPr>
            <w:color w:val="0A3A8C"/>
            <w:u w:val="single"/>
          </w:rPr>
          <w:t xml:space="preserve">§ 142 Bestellung der Sonderprüfer</w:t>
        </w:r>
      </w:hyperlink>
    </w:p>
    <w:p>
      <w:pPr>
        <w:pStyle w:val="Übersicht"/>
        <w:ind w:left="1361"/>
      </w:pPr>
      <w:hyperlink w:anchor="b187" w:history="1">
        <w:r>
          <w:rPr>
            <w:color w:val="0A3A8C"/>
            <w:u w:val="single"/>
          </w:rPr>
          <w:t xml:space="preserve">§ 143 Auswahl der Sonderprüfer</w:t>
        </w:r>
      </w:hyperlink>
    </w:p>
    <w:p>
      <w:pPr>
        <w:pStyle w:val="Übersicht"/>
        <w:ind w:left="1361"/>
      </w:pPr>
      <w:hyperlink w:anchor="b188" w:history="1">
        <w:r>
          <w:rPr>
            <w:color w:val="0A3A8C"/>
            <w:u w:val="single"/>
          </w:rPr>
          <w:t xml:space="preserve">§ 144 Verantwortlichkeit der Sonderprüfer</w:t>
        </w:r>
      </w:hyperlink>
    </w:p>
    <w:p>
      <w:pPr>
        <w:pStyle w:val="Übersicht"/>
        <w:ind w:left="1361"/>
      </w:pPr>
      <w:hyperlink w:anchor="b189" w:history="1">
        <w:r>
          <w:rPr>
            <w:color w:val="0A3A8C"/>
            <w:u w:val="single"/>
          </w:rPr>
          <w:t xml:space="preserve">§ 145 Rechte der Sonderprüfer. Prüfungsbericht</w:t>
        </w:r>
      </w:hyperlink>
    </w:p>
    <w:p>
      <w:pPr>
        <w:pStyle w:val="Übersicht"/>
        <w:ind w:left="1361"/>
      </w:pPr>
      <w:hyperlink w:anchor="b190" w:history="1">
        <w:r>
          <w:rPr>
            <w:color w:val="0A3A8C"/>
            <w:u w:val="single"/>
          </w:rPr>
          <w:t xml:space="preserve">§ 146 Kosten</w:t>
        </w:r>
      </w:hyperlink>
    </w:p>
    <w:p>
      <w:pPr>
        <w:pStyle w:val="Übersicht"/>
        <w:ind w:left="1361"/>
      </w:pPr>
      <w:hyperlink w:anchor="b191" w:history="1">
        <w:r>
          <w:rPr>
            <w:color w:val="0A3A8C"/>
            <w:u w:val="single"/>
          </w:rPr>
          <w:t xml:space="preserve">§ 147 Geltendmachung von Ersatzansprüchen</w:t>
        </w:r>
      </w:hyperlink>
    </w:p>
    <w:p>
      <w:pPr>
        <w:pStyle w:val="Übersicht"/>
        <w:ind w:left="1361"/>
      </w:pPr>
      <w:hyperlink w:anchor="b192" w:history="1">
        <w:r>
          <w:rPr>
            <w:color w:val="0A3A8C"/>
            <w:u w:val="single"/>
          </w:rPr>
          <w:t xml:space="preserve">§ 148 Klagezulassungsverfahren</w:t>
        </w:r>
      </w:hyperlink>
    </w:p>
    <w:p>
      <w:pPr>
        <w:pStyle w:val="Übersicht"/>
        <w:ind w:left="1361"/>
      </w:pPr>
      <w:hyperlink w:anchor="b193" w:history="1">
        <w:r>
          <w:rPr>
            <w:color w:val="0A3A8C"/>
            <w:u w:val="single"/>
          </w:rPr>
          <w:t xml:space="preserve">§ 149 Bekanntmachungen zur Haftungsklage</w:t>
        </w:r>
      </w:hyperlink>
    </w:p>
    <w:p>
      <w:pPr>
        <w:pStyle w:val="Übersicht"/>
        <w:ind w:left="340"/>
      </w:pPr>
      <w:hyperlink w:anchor="b194" w:history="1">
        <w:r>
          <w:rPr>
            <w:b/>
            <w:color w:val="0A3A8C"/>
            <w:u w:val="single"/>
          </w:rPr>
          <w:t xml:space="preserve">Fünfter Teil Rechnungslegung
Gewinnverwendung</w:t>
        </w:r>
      </w:hyperlink>
    </w:p>
    <w:p>
      <w:pPr>
        <w:pStyle w:val="Übersicht"/>
        <w:ind w:left="680"/>
      </w:pPr>
      <w:hyperlink w:anchor="b195" w:history="1">
        <w:r>
          <w:rPr>
            <w:b/>
            <w:color w:val="0A3A8C"/>
            <w:u w:val="single"/>
          </w:rPr>
          <w:t xml:space="preserve">Erster Abschnitt Jahresabschluss und Lagebericht; Entsprechenserklärung und Vergütungsbericht</w:t>
        </w:r>
      </w:hyperlink>
    </w:p>
    <w:p>
      <w:pPr>
        <w:pStyle w:val="Übersicht"/>
        <w:ind w:left="1020"/>
      </w:pPr>
      <w:hyperlink w:anchor="b196" w:history="1">
        <w:r>
          <w:rPr>
            <w:color w:val="0A3A8C"/>
            <w:u w:val="single"/>
          </w:rPr>
          <w:t xml:space="preserve">§ 150 Gesetzliche Rücklage. Kapitalrücklage</w:t>
        </w:r>
      </w:hyperlink>
    </w:p>
    <w:p>
      <w:pPr>
        <w:pStyle w:val="Übersicht"/>
        <w:ind w:left="1020"/>
      </w:pPr>
      <w:hyperlink w:anchor="b197" w:history="1">
        <w:r>
          <w:rPr>
            <w:color w:val="0A3A8C"/>
            <w:u w:val="single"/>
          </w:rPr>
          <w:t xml:space="preserve">§ 150a (weggefallen)</w:t>
        </w:r>
      </w:hyperlink>
    </w:p>
    <w:p>
      <w:pPr>
        <w:pStyle w:val="Übersicht"/>
        <w:ind w:left="1020"/>
      </w:pPr>
      <w:hyperlink w:anchor="b198" w:history="1">
        <w:r>
          <w:rPr>
            <w:color w:val="0A3A8C"/>
            <w:u w:val="single"/>
          </w:rPr>
          <w:t xml:space="preserve">§ 151 (weggefallen)</w:t>
        </w:r>
      </w:hyperlink>
    </w:p>
    <w:p>
      <w:pPr>
        <w:pStyle w:val="Übersicht"/>
        <w:ind w:left="1020"/>
      </w:pPr>
      <w:hyperlink w:anchor="b199" w:history="1">
        <w:r>
          <w:rPr>
            <w:color w:val="0A3A8C"/>
            <w:u w:val="single"/>
          </w:rPr>
          <w:t xml:space="preserve">§ 152 Vorschriften zur Bilanz</w:t>
        </w:r>
      </w:hyperlink>
    </w:p>
    <w:p>
      <w:pPr>
        <w:pStyle w:val="Übersicht"/>
        <w:ind w:left="1020"/>
      </w:pPr>
      <w:hyperlink w:anchor="b200" w:history="1">
        <w:r>
          <w:rPr>
            <w:color w:val="0A3A8C"/>
            <w:u w:val="single"/>
          </w:rPr>
          <w:t xml:space="preserve">§§ 153 bis 157 (weggefallen)</w:t>
        </w:r>
      </w:hyperlink>
    </w:p>
    <w:p>
      <w:pPr>
        <w:pStyle w:val="Übersicht"/>
        <w:ind w:left="1020"/>
      </w:pPr>
      <w:hyperlink w:anchor="b201" w:history="1">
        <w:r>
          <w:rPr>
            <w:color w:val="0A3A8C"/>
            <w:u w:val="single"/>
          </w:rPr>
          <w:t xml:space="preserve">§ 158 Vorschriften zur Gewinn- und Verlustrechnung</w:t>
        </w:r>
      </w:hyperlink>
    </w:p>
    <w:p>
      <w:pPr>
        <w:pStyle w:val="Übersicht"/>
        <w:ind w:left="1020"/>
      </w:pPr>
      <w:hyperlink w:anchor="b202" w:history="1">
        <w:r>
          <w:rPr>
            <w:color w:val="0A3A8C"/>
            <w:u w:val="single"/>
          </w:rPr>
          <w:t xml:space="preserve">§ 159</w:t>
        </w:r>
      </w:hyperlink>
    </w:p>
    <w:p>
      <w:pPr>
        <w:pStyle w:val="Übersicht"/>
        <w:ind w:left="1020"/>
      </w:pPr>
      <w:hyperlink w:anchor="b203" w:history="1">
        <w:r>
          <w:rPr>
            <w:color w:val="0A3A8C"/>
            <w:u w:val="single"/>
          </w:rPr>
          <w:t xml:space="preserve">§ 160 Vorschriften zum Anhang</w:t>
        </w:r>
      </w:hyperlink>
    </w:p>
    <w:p>
      <w:pPr>
        <w:pStyle w:val="Übersicht"/>
        <w:ind w:left="1020"/>
      </w:pPr>
      <w:hyperlink w:anchor="b204" w:history="1">
        <w:r>
          <w:rPr>
            <w:color w:val="0A3A8C"/>
            <w:u w:val="single"/>
          </w:rPr>
          <w:t xml:space="preserve">§ 161 Erklärung zum Corporate Governance Kodex</w:t>
        </w:r>
      </w:hyperlink>
    </w:p>
    <w:p>
      <w:pPr>
        <w:pStyle w:val="Übersicht"/>
        <w:ind w:left="1020"/>
      </w:pPr>
      <w:hyperlink w:anchor="b205" w:history="1">
        <w:r>
          <w:rPr>
            <w:color w:val="0A3A8C"/>
            <w:u w:val="single"/>
          </w:rPr>
          <w:t xml:space="preserve">§ 162 Vergütungsbericht</w:t>
        </w:r>
      </w:hyperlink>
    </w:p>
    <w:p>
      <w:pPr>
        <w:pStyle w:val="Übersicht"/>
        <w:ind w:left="680"/>
      </w:pPr>
      <w:hyperlink w:anchor="b206" w:history="1">
        <w:r>
          <w:rPr>
            <w:b/>
            <w:color w:val="0A3A8C"/>
            <w:u w:val="single"/>
          </w:rPr>
          <w:t xml:space="preserve">Zweiter Abschnitt Prüfung des Jahresabschlusses</w:t>
        </w:r>
      </w:hyperlink>
    </w:p>
    <w:p>
      <w:pPr>
        <w:pStyle w:val="Übersicht"/>
        <w:ind w:left="1020"/>
      </w:pPr>
      <w:hyperlink w:anchor="b207" w:history="1">
        <w:r>
          <w:rPr>
            <w:b/>
            <w:color w:val="0A3A8C"/>
            <w:u w:val="single"/>
          </w:rPr>
          <w:t xml:space="preserve">Erster Unterabschnitt Prüfung durch Abschlußprüfer</w:t>
        </w:r>
      </w:hyperlink>
    </w:p>
    <w:p>
      <w:pPr>
        <w:pStyle w:val="Übersicht"/>
        <w:ind w:left="1361"/>
      </w:pPr>
      <w:hyperlink w:anchor="b208" w:history="1">
        <w:r>
          <w:rPr>
            <w:color w:val="0A3A8C"/>
            <w:u w:val="single"/>
          </w:rPr>
          <w:t xml:space="preserve">§§ 163 bis 169</w:t>
        </w:r>
      </w:hyperlink>
    </w:p>
    <w:p>
      <w:pPr>
        <w:pStyle w:val="Übersicht"/>
        <w:ind w:left="1020"/>
      </w:pPr>
      <w:hyperlink w:anchor="b209" w:history="1">
        <w:r>
          <w:rPr>
            <w:b/>
            <w:color w:val="0A3A8C"/>
            <w:u w:val="single"/>
          </w:rPr>
          <w:t xml:space="preserve">Zweiter Unterabschnitt Prüfung durch
den Aufsichtsrat</w:t>
        </w:r>
      </w:hyperlink>
    </w:p>
    <w:p>
      <w:pPr>
        <w:pStyle w:val="Übersicht"/>
        <w:ind w:left="1361"/>
      </w:pPr>
      <w:hyperlink w:anchor="b210" w:history="1">
        <w:r>
          <w:rPr>
            <w:color w:val="0A3A8C"/>
            <w:u w:val="single"/>
          </w:rPr>
          <w:t xml:space="preserve">§ 170 Vorlage an den Aufsichtsrat</w:t>
        </w:r>
      </w:hyperlink>
    </w:p>
    <w:p>
      <w:pPr>
        <w:pStyle w:val="Übersicht"/>
        <w:ind w:left="1361"/>
      </w:pPr>
      <w:hyperlink w:anchor="b211" w:history="1">
        <w:r>
          <w:rPr>
            <w:color w:val="0A3A8C"/>
            <w:u w:val="single"/>
          </w:rPr>
          <w:t xml:space="preserve">§ 171 Prüfung durch den Aufsichtsrat</w:t>
        </w:r>
      </w:hyperlink>
    </w:p>
    <w:p>
      <w:pPr>
        <w:pStyle w:val="Übersicht"/>
        <w:ind w:left="680"/>
      </w:pPr>
      <w:hyperlink w:anchor="b212" w:history="1">
        <w:r>
          <w:rPr>
            <w:b/>
            <w:color w:val="0A3A8C"/>
            <w:u w:val="single"/>
          </w:rPr>
          <w:t xml:space="preserve">Dritter Abschnitt Feststellung des
Jahresabschlusses. Gewinnverwendung</w:t>
        </w:r>
      </w:hyperlink>
    </w:p>
    <w:p>
      <w:pPr>
        <w:pStyle w:val="Übersicht"/>
        <w:ind w:left="1020"/>
      </w:pPr>
      <w:hyperlink w:anchor="b213" w:history="1">
        <w:r>
          <w:rPr>
            <w:b/>
            <w:color w:val="0A3A8C"/>
            <w:u w:val="single"/>
          </w:rPr>
          <w:t xml:space="preserve">Erster Unterabschnitt Feststellung
des Jahresabschlusses</w:t>
        </w:r>
      </w:hyperlink>
    </w:p>
    <w:p>
      <w:pPr>
        <w:pStyle w:val="Übersicht"/>
        <w:ind w:left="1361"/>
      </w:pPr>
      <w:hyperlink w:anchor="b214" w:history="1">
        <w:r>
          <w:rPr>
            <w:color w:val="0A3A8C"/>
            <w:u w:val="single"/>
          </w:rPr>
          <w:t xml:space="preserve">§ 172 Feststellung durch Vorstand und Aufsichtsrat</w:t>
        </w:r>
      </w:hyperlink>
    </w:p>
    <w:p>
      <w:pPr>
        <w:pStyle w:val="Übersicht"/>
        <w:ind w:left="1361"/>
      </w:pPr>
      <w:hyperlink w:anchor="b215" w:history="1">
        <w:r>
          <w:rPr>
            <w:color w:val="0A3A8C"/>
            <w:u w:val="single"/>
          </w:rPr>
          <w:t xml:space="preserve">§ 173 Feststellung durch die Hauptversammlung</w:t>
        </w:r>
      </w:hyperlink>
    </w:p>
    <w:p>
      <w:pPr>
        <w:pStyle w:val="Übersicht"/>
        <w:ind w:left="1020"/>
      </w:pPr>
      <w:hyperlink w:anchor="b216" w:history="1">
        <w:r>
          <w:rPr>
            <w:b/>
            <w:color w:val="0A3A8C"/>
            <w:u w:val="single"/>
          </w:rPr>
          <w:t xml:space="preserve">Zweiter Unterabschnitt Gewinnverwendung</w:t>
        </w:r>
      </w:hyperlink>
    </w:p>
    <w:p>
      <w:pPr>
        <w:pStyle w:val="Übersicht"/>
        <w:ind w:left="1361"/>
      </w:pPr>
      <w:hyperlink w:anchor="b217" w:history="1">
        <w:r>
          <w:rPr>
            <w:color w:val="0A3A8C"/>
            <w:u w:val="single"/>
          </w:rPr>
          <w:t xml:space="preserve">§ 174</w:t>
        </w:r>
      </w:hyperlink>
    </w:p>
    <w:p>
      <w:pPr>
        <w:pStyle w:val="Übersicht"/>
        <w:ind w:left="1020"/>
      </w:pPr>
      <w:hyperlink w:anchor="b218" w:history="1">
        <w:r>
          <w:rPr>
            <w:b/>
            <w:color w:val="0A3A8C"/>
            <w:u w:val="single"/>
          </w:rPr>
          <w:t xml:space="preserve">Dritter Unterabschnitt Ordentliche
Hauptversammlung</w:t>
        </w:r>
      </w:hyperlink>
    </w:p>
    <w:p>
      <w:pPr>
        <w:pStyle w:val="Übersicht"/>
        <w:ind w:left="1361"/>
      </w:pPr>
      <w:hyperlink w:anchor="b219" w:history="1">
        <w:r>
          <w:rPr>
            <w:color w:val="0A3A8C"/>
            <w:u w:val="single"/>
          </w:rPr>
          <w:t xml:space="preserve">§ 175 Einberufung</w:t>
        </w:r>
      </w:hyperlink>
    </w:p>
    <w:p>
      <w:pPr>
        <w:pStyle w:val="Übersicht"/>
        <w:ind w:left="1361"/>
      </w:pPr>
      <w:hyperlink w:anchor="b220" w:history="1">
        <w:r>
          <w:rPr>
            <w:color w:val="0A3A8C"/>
            <w:u w:val="single"/>
          </w:rPr>
          <w:t xml:space="preserve">§ 176 Vorlagen. Anwesenheit des Abschlußprüfers</w:t>
        </w:r>
      </w:hyperlink>
    </w:p>
    <w:p>
      <w:pPr>
        <w:pStyle w:val="Übersicht"/>
        <w:ind w:left="680"/>
      </w:pPr>
      <w:hyperlink w:anchor="b221" w:history="1">
        <w:r>
          <w:rPr>
            <w:b/>
            <w:color w:val="0A3A8C"/>
            <w:u w:val="single"/>
          </w:rPr>
          <w:t xml:space="preserve">Vierter Abschnitt Bekanntmachung des
Jahresabschlusses</w:t>
        </w:r>
      </w:hyperlink>
    </w:p>
    <w:p>
      <w:pPr>
        <w:pStyle w:val="Übersicht"/>
        <w:ind w:left="1020"/>
      </w:pPr>
      <w:hyperlink w:anchor="b222" w:history="1">
        <w:r>
          <w:rPr>
            <w:color w:val="0A3A8C"/>
            <w:u w:val="single"/>
          </w:rPr>
          <w:t xml:space="preserve">§§ 177 bis 178</w:t>
        </w:r>
      </w:hyperlink>
    </w:p>
    <w:p>
      <w:pPr>
        <w:pStyle w:val="Übersicht"/>
        <w:ind w:left="340"/>
      </w:pPr>
      <w:hyperlink w:anchor="b224" w:history="1">
        <w:r>
          <w:rPr>
            <w:b/>
            <w:color w:val="0A3A8C"/>
            <w:u w:val="single"/>
          </w:rPr>
          <w:t xml:space="preserve">Sechster Teil Satzungsänderung.
Maßnahmen der Kapitalbeschaffung und Kapitalherabsetzung</w:t>
        </w:r>
      </w:hyperlink>
    </w:p>
    <w:p>
      <w:pPr>
        <w:pStyle w:val="Übersicht"/>
        <w:ind w:left="680"/>
      </w:pPr>
      <w:hyperlink w:anchor="b225" w:history="1">
        <w:r>
          <w:rPr>
            <w:b/>
            <w:color w:val="0A3A8C"/>
            <w:u w:val="single"/>
          </w:rPr>
          <w:t xml:space="preserve">Erster Abschnitt Satzungsänderung</w:t>
        </w:r>
      </w:hyperlink>
    </w:p>
    <w:p>
      <w:pPr>
        <w:pStyle w:val="Übersicht"/>
        <w:ind w:left="1020"/>
      </w:pPr>
      <w:hyperlink w:anchor="b226" w:history="1">
        <w:r>
          <w:rPr>
            <w:color w:val="0A3A8C"/>
            <w:u w:val="single"/>
          </w:rPr>
          <w:t xml:space="preserve">§ 179 Beschluß der Hauptversammlung</w:t>
        </w:r>
      </w:hyperlink>
    </w:p>
    <w:p>
      <w:pPr>
        <w:pStyle w:val="Übersicht"/>
        <w:ind w:left="1020"/>
      </w:pPr>
      <w:hyperlink w:anchor="b227" w:history="1">
        <w:r>
          <w:rPr>
            <w:color w:val="0A3A8C"/>
            <w:u w:val="single"/>
          </w:rPr>
          <w:t xml:space="preserve">§ 179a Verpflichtung zur Übertragung des ganzen Gesellschaftsvermögens</w:t>
        </w:r>
      </w:hyperlink>
    </w:p>
    <w:p>
      <w:pPr>
        <w:pStyle w:val="Übersicht"/>
        <w:ind w:left="1020"/>
      </w:pPr>
      <w:hyperlink w:anchor="b228" w:history="1">
        <w:r>
          <w:rPr>
            <w:color w:val="0A3A8C"/>
            <w:u w:val="single"/>
          </w:rPr>
          <w:t xml:space="preserve">§ 180 Zustimmung der betroffenen Aktionäre</w:t>
        </w:r>
      </w:hyperlink>
    </w:p>
    <w:p>
      <w:pPr>
        <w:pStyle w:val="Übersicht"/>
        <w:ind w:left="1020"/>
      </w:pPr>
      <w:hyperlink w:anchor="b229" w:history="1">
        <w:r>
          <w:rPr>
            <w:color w:val="0A3A8C"/>
            <w:u w:val="single"/>
          </w:rPr>
          <w:t xml:space="preserve">§ 181 Eintragung der Satzungsänderung</w:t>
        </w:r>
      </w:hyperlink>
    </w:p>
    <w:p>
      <w:pPr>
        <w:pStyle w:val="Übersicht"/>
        <w:ind w:left="680"/>
      </w:pPr>
      <w:hyperlink w:anchor="b230" w:history="1">
        <w:r>
          <w:rPr>
            <w:b/>
            <w:color w:val="0A3A8C"/>
            <w:u w:val="single"/>
          </w:rPr>
          <w:t xml:space="preserve">Zweiter Abschnitt Maßnahmen der
Kapitalbeschaffung</w:t>
        </w:r>
      </w:hyperlink>
    </w:p>
    <w:p>
      <w:pPr>
        <w:pStyle w:val="Übersicht"/>
        <w:ind w:left="1020"/>
      </w:pPr>
      <w:hyperlink w:anchor="b231" w:history="1">
        <w:r>
          <w:rPr>
            <w:b/>
            <w:color w:val="0A3A8C"/>
            <w:u w:val="single"/>
          </w:rPr>
          <w:t xml:space="preserve">Erster Unterabschnitt Kapitalerhöhung gegen Einlagen</w:t>
        </w:r>
      </w:hyperlink>
    </w:p>
    <w:p>
      <w:pPr>
        <w:pStyle w:val="Übersicht"/>
        <w:ind w:left="1361"/>
      </w:pPr>
      <w:hyperlink w:anchor="b232" w:history="1">
        <w:r>
          <w:rPr>
            <w:color w:val="0A3A8C"/>
            <w:u w:val="single"/>
          </w:rPr>
          <w:t xml:space="preserve">§ 182 Voraussetzungen</w:t>
        </w:r>
      </w:hyperlink>
    </w:p>
    <w:p>
      <w:pPr>
        <w:pStyle w:val="Übersicht"/>
        <w:ind w:left="1361"/>
      </w:pPr>
      <w:hyperlink w:anchor="b233" w:history="1">
        <w:r>
          <w:rPr>
            <w:color w:val="0A3A8C"/>
            <w:u w:val="single"/>
          </w:rPr>
          <w:t xml:space="preserve">§ 183 Kapitalerhöhung mit Sacheinlagen; Rückzahlung von Einlagen</w:t>
        </w:r>
      </w:hyperlink>
    </w:p>
    <w:p>
      <w:pPr>
        <w:pStyle w:val="Übersicht"/>
        <w:ind w:left="1361"/>
      </w:pPr>
      <w:hyperlink w:anchor="b234" w:history="1">
        <w:r>
          <w:rPr>
            <w:color w:val="0A3A8C"/>
            <w:u w:val="single"/>
          </w:rPr>
          <w:t xml:space="preserve">§ 183a Kapitalerhöhung mit Sacheinlagen ohne Prüfung</w:t>
        </w:r>
      </w:hyperlink>
    </w:p>
    <w:p>
      <w:pPr>
        <w:pStyle w:val="Übersicht"/>
        <w:ind w:left="1361"/>
      </w:pPr>
      <w:hyperlink w:anchor="b235" w:history="1">
        <w:r>
          <w:rPr>
            <w:color w:val="0A3A8C"/>
            <w:u w:val="single"/>
          </w:rPr>
          <w:t xml:space="preserve">§ 184 Anmeldung des Beschlusses</w:t>
        </w:r>
      </w:hyperlink>
    </w:p>
    <w:p>
      <w:pPr>
        <w:pStyle w:val="Übersicht"/>
        <w:ind w:left="1361"/>
      </w:pPr>
      <w:hyperlink w:anchor="b236" w:history="1">
        <w:r>
          <w:rPr>
            <w:color w:val="0A3A8C"/>
            <w:u w:val="single"/>
          </w:rPr>
          <w:t xml:space="preserve">§ 185 Zeichnung der neuen Aktien</w:t>
        </w:r>
      </w:hyperlink>
    </w:p>
    <w:p>
      <w:pPr>
        <w:pStyle w:val="Übersicht"/>
        <w:ind w:left="1361"/>
      </w:pPr>
      <w:hyperlink w:anchor="b237" w:history="1">
        <w:r>
          <w:rPr>
            <w:color w:val="0A3A8C"/>
            <w:u w:val="single"/>
          </w:rPr>
          <w:t xml:space="preserve">§ 186 Bezugsrecht</w:t>
        </w:r>
      </w:hyperlink>
    </w:p>
    <w:p>
      <w:pPr>
        <w:pStyle w:val="Übersicht"/>
        <w:ind w:left="1361"/>
      </w:pPr>
      <w:hyperlink w:anchor="b238" w:history="1">
        <w:r>
          <w:rPr>
            <w:color w:val="0A3A8C"/>
            <w:u w:val="single"/>
          </w:rPr>
          <w:t xml:space="preserve">§ 187 Zusicherung von Rechten auf den Bezug neuer
Aktien</w:t>
        </w:r>
      </w:hyperlink>
    </w:p>
    <w:p>
      <w:pPr>
        <w:pStyle w:val="Übersicht"/>
        <w:ind w:left="1361"/>
      </w:pPr>
      <w:hyperlink w:anchor="b239" w:history="1">
        <w:r>
          <w:rPr>
            <w:color w:val="0A3A8C"/>
            <w:u w:val="single"/>
          </w:rPr>
          <w:t xml:space="preserve">§ 188 Anmeldung und Eintragung der Durchführung</w:t>
        </w:r>
      </w:hyperlink>
    </w:p>
    <w:p>
      <w:pPr>
        <w:pStyle w:val="Übersicht"/>
        <w:ind w:left="1361"/>
      </w:pPr>
      <w:hyperlink w:anchor="b240" w:history="1">
        <w:r>
          <w:rPr>
            <w:color w:val="0A3A8C"/>
            <w:u w:val="single"/>
          </w:rPr>
          <w:t xml:space="preserve">§ 189 Wirksamwerden der Kapitalerhöhung</w:t>
        </w:r>
      </w:hyperlink>
    </w:p>
    <w:p>
      <w:pPr>
        <w:pStyle w:val="Übersicht"/>
        <w:ind w:left="1361"/>
      </w:pPr>
      <w:hyperlink w:anchor="b241" w:history="1">
        <w:r>
          <w:rPr>
            <w:color w:val="0A3A8C"/>
            <w:u w:val="single"/>
          </w:rPr>
          <w:t xml:space="preserve">§ 190 (weggefallen)</w:t>
        </w:r>
      </w:hyperlink>
    </w:p>
    <w:p>
      <w:pPr>
        <w:pStyle w:val="Übersicht"/>
        <w:ind w:left="1361"/>
      </w:pPr>
      <w:hyperlink w:anchor="b242" w:history="1">
        <w:r>
          <w:rPr>
            <w:color w:val="0A3A8C"/>
            <w:u w:val="single"/>
          </w:rPr>
          <w:t xml:space="preserve">§ 191 Verbotene Ausgabe von Aktien und Zwischenscheinen</w:t>
        </w:r>
      </w:hyperlink>
    </w:p>
    <w:p>
      <w:pPr>
        <w:pStyle w:val="Übersicht"/>
        <w:ind w:left="1020"/>
      </w:pPr>
      <w:hyperlink w:anchor="b243" w:history="1">
        <w:r>
          <w:rPr>
            <w:b/>
            <w:color w:val="0A3A8C"/>
            <w:u w:val="single"/>
          </w:rPr>
          <w:t xml:space="preserve">Zweiter Unterabschnitt Bedingte
Kapitalerhöhung</w:t>
        </w:r>
      </w:hyperlink>
    </w:p>
    <w:p>
      <w:pPr>
        <w:pStyle w:val="Übersicht"/>
        <w:ind w:left="1361"/>
      </w:pPr>
      <w:hyperlink w:anchor="b244" w:history="1">
        <w:r>
          <w:rPr>
            <w:color w:val="0A3A8C"/>
            <w:u w:val="single"/>
          </w:rPr>
          <w:t xml:space="preserve">§ 192 Voraussetzungen</w:t>
        </w:r>
      </w:hyperlink>
    </w:p>
    <w:p>
      <w:pPr>
        <w:pStyle w:val="Übersicht"/>
        <w:ind w:left="1361"/>
      </w:pPr>
      <w:hyperlink w:anchor="b245" w:history="1">
        <w:r>
          <w:rPr>
            <w:color w:val="0A3A8C"/>
            <w:u w:val="single"/>
          </w:rPr>
          <w:t xml:space="preserve">§ 193 Erfordernisse des Beschlusses</w:t>
        </w:r>
      </w:hyperlink>
    </w:p>
    <w:p>
      <w:pPr>
        <w:pStyle w:val="Übersicht"/>
        <w:ind w:left="1361"/>
      </w:pPr>
      <w:hyperlink w:anchor="b246" w:history="1">
        <w:r>
          <w:rPr>
            <w:color w:val="0A3A8C"/>
            <w:u w:val="single"/>
          </w:rPr>
          <w:t xml:space="preserve">§ 194 Bedingte Kapitalerhöhung mit Sacheinlagen; Rückzahlung von Einlagen</w:t>
        </w:r>
      </w:hyperlink>
    </w:p>
    <w:p>
      <w:pPr>
        <w:pStyle w:val="Übersicht"/>
        <w:ind w:left="1361"/>
      </w:pPr>
      <w:hyperlink w:anchor="b247" w:history="1">
        <w:r>
          <w:rPr>
            <w:color w:val="0A3A8C"/>
            <w:u w:val="single"/>
          </w:rPr>
          <w:t xml:space="preserve">§ 195 Anmeldung des Beschlusses</w:t>
        </w:r>
      </w:hyperlink>
    </w:p>
    <w:p>
      <w:pPr>
        <w:pStyle w:val="Übersicht"/>
        <w:ind w:left="1361"/>
      </w:pPr>
      <w:hyperlink w:anchor="b248" w:history="1">
        <w:r>
          <w:rPr>
            <w:color w:val="0A3A8C"/>
            <w:u w:val="single"/>
          </w:rPr>
          <w:t xml:space="preserve">§ 196 (weggefallen)</w:t>
        </w:r>
      </w:hyperlink>
    </w:p>
    <w:p>
      <w:pPr>
        <w:pStyle w:val="Übersicht"/>
        <w:ind w:left="1361"/>
      </w:pPr>
      <w:hyperlink w:anchor="b249" w:history="1">
        <w:r>
          <w:rPr>
            <w:color w:val="0A3A8C"/>
            <w:u w:val="single"/>
          </w:rPr>
          <w:t xml:space="preserve">§ 197 Verbotene Aktienausgabe</w:t>
        </w:r>
      </w:hyperlink>
    </w:p>
    <w:p>
      <w:pPr>
        <w:pStyle w:val="Übersicht"/>
        <w:ind w:left="1361"/>
      </w:pPr>
      <w:hyperlink w:anchor="b250" w:history="1">
        <w:r>
          <w:rPr>
            <w:color w:val="0A3A8C"/>
            <w:u w:val="single"/>
          </w:rPr>
          <w:t xml:space="preserve">§ 198 Bezugserklärung</w:t>
        </w:r>
      </w:hyperlink>
    </w:p>
    <w:p>
      <w:pPr>
        <w:pStyle w:val="Übersicht"/>
        <w:ind w:left="1361"/>
      </w:pPr>
      <w:hyperlink w:anchor="b251" w:history="1">
        <w:r>
          <w:rPr>
            <w:color w:val="0A3A8C"/>
            <w:u w:val="single"/>
          </w:rPr>
          <w:t xml:space="preserve">§ 199 Ausgabe der Bezugsaktien</w:t>
        </w:r>
      </w:hyperlink>
    </w:p>
    <w:p>
      <w:pPr>
        <w:pStyle w:val="Übersicht"/>
        <w:ind w:left="1361"/>
      </w:pPr>
      <w:hyperlink w:anchor="b252" w:history="1">
        <w:r>
          <w:rPr>
            <w:color w:val="0A3A8C"/>
            <w:u w:val="single"/>
          </w:rPr>
          <w:t xml:space="preserve">§ 200 Wirksamwerden der bedingten
Kapitalerhöhung</w:t>
        </w:r>
      </w:hyperlink>
    </w:p>
    <w:p>
      <w:pPr>
        <w:pStyle w:val="Übersicht"/>
        <w:ind w:left="1361"/>
      </w:pPr>
      <w:hyperlink w:anchor="b253" w:history="1">
        <w:r>
          <w:rPr>
            <w:color w:val="0A3A8C"/>
            <w:u w:val="single"/>
          </w:rPr>
          <w:t xml:space="preserve">§ 201 Anmeldung der Ausgabe von Bezugsaktien</w:t>
        </w:r>
      </w:hyperlink>
    </w:p>
    <w:p>
      <w:pPr>
        <w:pStyle w:val="Übersicht"/>
        <w:ind w:left="1020"/>
      </w:pPr>
      <w:hyperlink w:anchor="b254" w:history="1">
        <w:r>
          <w:rPr>
            <w:b/>
            <w:color w:val="0A3A8C"/>
            <w:u w:val="single"/>
          </w:rPr>
          <w:t xml:space="preserve">Dritter Unterabschnitt Genehmigtes
Kapital</w:t>
        </w:r>
      </w:hyperlink>
    </w:p>
    <w:p>
      <w:pPr>
        <w:pStyle w:val="Übersicht"/>
        <w:ind w:left="1361"/>
      </w:pPr>
      <w:hyperlink w:anchor="b255" w:history="1">
        <w:r>
          <w:rPr>
            <w:color w:val="0A3A8C"/>
            <w:u w:val="single"/>
          </w:rPr>
          <w:t xml:space="preserve">§ 202 Voraussetzungen</w:t>
        </w:r>
      </w:hyperlink>
    </w:p>
    <w:p>
      <w:pPr>
        <w:pStyle w:val="Übersicht"/>
        <w:ind w:left="1361"/>
      </w:pPr>
      <w:hyperlink w:anchor="b256" w:history="1">
        <w:r>
          <w:rPr>
            <w:color w:val="0A3A8C"/>
            <w:u w:val="single"/>
          </w:rPr>
          <w:t xml:space="preserve">§ 203 Ausgabe der neuen Aktien</w:t>
        </w:r>
      </w:hyperlink>
    </w:p>
    <w:p>
      <w:pPr>
        <w:pStyle w:val="Übersicht"/>
        <w:ind w:left="1361"/>
      </w:pPr>
      <w:hyperlink w:anchor="b257" w:history="1">
        <w:r>
          <w:rPr>
            <w:color w:val="0A3A8C"/>
            <w:u w:val="single"/>
          </w:rPr>
          <w:t xml:space="preserve">§ 204 Bedingungen der Aktienausgabe</w:t>
        </w:r>
      </w:hyperlink>
    </w:p>
    <w:p>
      <w:pPr>
        <w:pStyle w:val="Übersicht"/>
        <w:ind w:left="1361"/>
      </w:pPr>
      <w:hyperlink w:anchor="b258" w:history="1">
        <w:r>
          <w:rPr>
            <w:color w:val="0A3A8C"/>
            <w:u w:val="single"/>
          </w:rPr>
          <w:t xml:space="preserve">§ 205 Ausgabe gegen Sacheinlagen; Rückzahlung von Einlagen</w:t>
        </w:r>
      </w:hyperlink>
    </w:p>
    <w:p>
      <w:pPr>
        <w:pStyle w:val="Übersicht"/>
        <w:ind w:left="1361"/>
      </w:pPr>
      <w:hyperlink w:anchor="b259" w:history="1">
        <w:r>
          <w:rPr>
            <w:color w:val="0A3A8C"/>
            <w:u w:val="single"/>
          </w:rPr>
          <w:t xml:space="preserve">§ 206 Verträge über Sacheinlagen vor Eintragung der Gesellschaft</w:t>
        </w:r>
      </w:hyperlink>
    </w:p>
    <w:p>
      <w:pPr>
        <w:pStyle w:val="Übersicht"/>
        <w:ind w:left="1020"/>
      </w:pPr>
      <w:hyperlink w:anchor="b260" w:history="1">
        <w:r>
          <w:rPr>
            <w:b/>
            <w:color w:val="0A3A8C"/>
            <w:u w:val="single"/>
          </w:rPr>
          <w:t xml:space="preserve">Vierter Unterabschnitt Kapitalerhöhung aus
Gesellschaftsmitteln</w:t>
        </w:r>
      </w:hyperlink>
    </w:p>
    <w:p>
      <w:pPr>
        <w:pStyle w:val="Übersicht"/>
        <w:ind w:left="1361"/>
      </w:pPr>
      <w:hyperlink w:anchor="b261" w:history="1">
        <w:r>
          <w:rPr>
            <w:color w:val="0A3A8C"/>
            <w:u w:val="single"/>
          </w:rPr>
          <w:t xml:space="preserve">§ 207 Voraussetzungen</w:t>
        </w:r>
      </w:hyperlink>
    </w:p>
    <w:p>
      <w:pPr>
        <w:pStyle w:val="Übersicht"/>
        <w:ind w:left="1361"/>
      </w:pPr>
      <w:hyperlink w:anchor="b262" w:history="1">
        <w:r>
          <w:rPr>
            <w:color w:val="0A3A8C"/>
            <w:u w:val="single"/>
          </w:rPr>
          <w:t xml:space="preserve">§ 208 Umwandlungsfähigkeit von Kapital- und Gewinnrücklagen</w:t>
        </w:r>
      </w:hyperlink>
    </w:p>
    <w:p>
      <w:pPr>
        <w:pStyle w:val="Übersicht"/>
        <w:ind w:left="1361"/>
      </w:pPr>
      <w:hyperlink w:anchor="b263" w:history="1">
        <w:r>
          <w:rPr>
            <w:color w:val="0A3A8C"/>
            <w:u w:val="single"/>
          </w:rPr>
          <w:t xml:space="preserve">§ 209 Zugrunde gelegte Bilanz</w:t>
        </w:r>
      </w:hyperlink>
    </w:p>
    <w:p>
      <w:pPr>
        <w:pStyle w:val="Übersicht"/>
        <w:ind w:left="1361"/>
      </w:pPr>
      <w:hyperlink w:anchor="b264" w:history="1">
        <w:r>
          <w:rPr>
            <w:color w:val="0A3A8C"/>
            <w:u w:val="single"/>
          </w:rPr>
          <w:t xml:space="preserve">§ 210 Anmeldung und Eintragung des Beschlusses</w:t>
        </w:r>
      </w:hyperlink>
    </w:p>
    <w:p>
      <w:pPr>
        <w:pStyle w:val="Übersicht"/>
        <w:ind w:left="1361"/>
      </w:pPr>
      <w:hyperlink w:anchor="b265" w:history="1">
        <w:r>
          <w:rPr>
            <w:color w:val="0A3A8C"/>
            <w:u w:val="single"/>
          </w:rPr>
          <w:t xml:space="preserve">§ 211 Wirksamwerden der Kapitalerhöhung</w:t>
        </w:r>
      </w:hyperlink>
    </w:p>
    <w:p>
      <w:pPr>
        <w:pStyle w:val="Übersicht"/>
        <w:ind w:left="1361"/>
      </w:pPr>
      <w:hyperlink w:anchor="b266" w:history="1">
        <w:r>
          <w:rPr>
            <w:color w:val="0A3A8C"/>
            <w:u w:val="single"/>
          </w:rPr>
          <w:t xml:space="preserve">§ 212 Aus der Kapitalerhöhung Berechtigte</w:t>
        </w:r>
      </w:hyperlink>
    </w:p>
    <w:p>
      <w:pPr>
        <w:pStyle w:val="Übersicht"/>
        <w:ind w:left="1361"/>
      </w:pPr>
      <w:hyperlink w:anchor="b267" w:history="1">
        <w:r>
          <w:rPr>
            <w:color w:val="0A3A8C"/>
            <w:u w:val="single"/>
          </w:rPr>
          <w:t xml:space="preserve">§ 213 Teilrechte</w:t>
        </w:r>
      </w:hyperlink>
    </w:p>
    <w:p>
      <w:pPr>
        <w:pStyle w:val="Übersicht"/>
        <w:ind w:left="1361"/>
      </w:pPr>
      <w:hyperlink w:anchor="b268" w:history="1">
        <w:r>
          <w:rPr>
            <w:color w:val="0A3A8C"/>
            <w:u w:val="single"/>
          </w:rPr>
          <w:t xml:space="preserve">§ 214 Aufforderung an die Aktionäre</w:t>
        </w:r>
      </w:hyperlink>
    </w:p>
    <w:p>
      <w:pPr>
        <w:pStyle w:val="Übersicht"/>
        <w:ind w:left="1361"/>
      </w:pPr>
      <w:hyperlink w:anchor="b269" w:history="1">
        <w:r>
          <w:rPr>
            <w:color w:val="0A3A8C"/>
            <w:u w:val="single"/>
          </w:rPr>
          <w:t xml:space="preserve">§ 215 Eigene Aktien. Teileingezahlte Aktien</w:t>
        </w:r>
      </w:hyperlink>
    </w:p>
    <w:p>
      <w:pPr>
        <w:pStyle w:val="Übersicht"/>
        <w:ind w:left="1361"/>
      </w:pPr>
      <w:hyperlink w:anchor="b270" w:history="1">
        <w:r>
          <w:rPr>
            <w:color w:val="0A3A8C"/>
            <w:u w:val="single"/>
          </w:rPr>
          <w:t xml:space="preserve">§ 216 Wahrung der Rechte der Aktionäre und Dritter</w:t>
        </w:r>
      </w:hyperlink>
    </w:p>
    <w:p>
      <w:pPr>
        <w:pStyle w:val="Übersicht"/>
        <w:ind w:left="1361"/>
      </w:pPr>
      <w:hyperlink w:anchor="b271" w:history="1">
        <w:r>
          <w:rPr>
            <w:color w:val="0A3A8C"/>
            <w:u w:val="single"/>
          </w:rPr>
          <w:t xml:space="preserve">§ 217 Beginn der Gewinnbeteiligung</w:t>
        </w:r>
      </w:hyperlink>
    </w:p>
    <w:p>
      <w:pPr>
        <w:pStyle w:val="Übersicht"/>
        <w:ind w:left="1361"/>
      </w:pPr>
      <w:hyperlink w:anchor="b272" w:history="1">
        <w:r>
          <w:rPr>
            <w:color w:val="0A3A8C"/>
            <w:u w:val="single"/>
          </w:rPr>
          <w:t xml:space="preserve">§ 218 Bedingtes Kapital</w:t>
        </w:r>
      </w:hyperlink>
    </w:p>
    <w:p>
      <w:pPr>
        <w:pStyle w:val="Übersicht"/>
        <w:ind w:left="1361"/>
      </w:pPr>
      <w:hyperlink w:anchor="b273" w:history="1">
        <w:r>
          <w:rPr>
            <w:color w:val="0A3A8C"/>
            <w:u w:val="single"/>
          </w:rPr>
          <w:t xml:space="preserve">§ 219 Verbotene Ausgabe von Aktien und Zwischenscheinen</w:t>
        </w:r>
      </w:hyperlink>
    </w:p>
    <w:p>
      <w:pPr>
        <w:pStyle w:val="Übersicht"/>
        <w:ind w:left="1361"/>
      </w:pPr>
      <w:hyperlink w:anchor="b274" w:history="1">
        <w:r>
          <w:rPr>
            <w:color w:val="0A3A8C"/>
            <w:u w:val="single"/>
          </w:rPr>
          <w:t xml:space="preserve">§ 220 Wertansätze</w:t>
        </w:r>
      </w:hyperlink>
    </w:p>
    <w:p>
      <w:pPr>
        <w:pStyle w:val="Übersicht"/>
        <w:ind w:left="1020"/>
      </w:pPr>
      <w:hyperlink w:anchor="b275" w:history="1">
        <w:r>
          <w:rPr>
            <w:b/>
            <w:color w:val="0A3A8C"/>
            <w:u w:val="single"/>
          </w:rPr>
          <w:t xml:space="preserve">Fünfter Unterabschnitt Wandelschuldverschreibungen. Gewinnschuldverschreibungen</w:t>
        </w:r>
      </w:hyperlink>
    </w:p>
    <w:p>
      <w:pPr>
        <w:pStyle w:val="Übersicht"/>
        <w:ind w:left="1361"/>
      </w:pPr>
      <w:hyperlink w:anchor="b276" w:history="1">
        <w:r>
          <w:rPr>
            <w:color w:val="0A3A8C"/>
            <w:u w:val="single"/>
          </w:rPr>
          <w:t xml:space="preserve">§ 221</w:t>
        </w:r>
      </w:hyperlink>
    </w:p>
    <w:p>
      <w:pPr>
        <w:pStyle w:val="Übersicht"/>
        <w:ind w:left="680"/>
      </w:pPr>
      <w:hyperlink w:anchor="b277" w:history="1">
        <w:r>
          <w:rPr>
            <w:b/>
            <w:color w:val="0A3A8C"/>
            <w:u w:val="single"/>
          </w:rPr>
          <w:t xml:space="preserve">Dritter Abschnitt Maßnahmen der
Kapitalherabsetzung</w:t>
        </w:r>
      </w:hyperlink>
    </w:p>
    <w:p>
      <w:pPr>
        <w:pStyle w:val="Übersicht"/>
        <w:ind w:left="1020"/>
      </w:pPr>
      <w:hyperlink w:anchor="b278" w:history="1">
        <w:r>
          <w:rPr>
            <w:b/>
            <w:color w:val="0A3A8C"/>
            <w:u w:val="single"/>
          </w:rPr>
          <w:t xml:space="preserve">Erster Unterabschnitt Ordentliche
Kapitalherabsetzung</w:t>
        </w:r>
      </w:hyperlink>
    </w:p>
    <w:p>
      <w:pPr>
        <w:pStyle w:val="Übersicht"/>
        <w:ind w:left="1361"/>
      </w:pPr>
      <w:hyperlink w:anchor="b279" w:history="1">
        <w:r>
          <w:rPr>
            <w:color w:val="0A3A8C"/>
            <w:u w:val="single"/>
          </w:rPr>
          <w:t xml:space="preserve">§ 222 Voraussetzungen</w:t>
        </w:r>
      </w:hyperlink>
    </w:p>
    <w:p>
      <w:pPr>
        <w:pStyle w:val="Übersicht"/>
        <w:ind w:left="1361"/>
      </w:pPr>
      <w:hyperlink w:anchor="b280" w:history="1">
        <w:r>
          <w:rPr>
            <w:color w:val="0A3A8C"/>
            <w:u w:val="single"/>
          </w:rPr>
          <w:t xml:space="preserve">§ 223 Anmeldung des Beschlusses</w:t>
        </w:r>
      </w:hyperlink>
    </w:p>
    <w:p>
      <w:pPr>
        <w:pStyle w:val="Übersicht"/>
        <w:ind w:left="1361"/>
      </w:pPr>
      <w:hyperlink w:anchor="b281" w:history="1">
        <w:r>
          <w:rPr>
            <w:color w:val="0A3A8C"/>
            <w:u w:val="single"/>
          </w:rPr>
          <w:t xml:space="preserve">§ 224 Wirksamwerden der Kapitalherabsetzung</w:t>
        </w:r>
      </w:hyperlink>
    </w:p>
    <w:p>
      <w:pPr>
        <w:pStyle w:val="Übersicht"/>
        <w:ind w:left="1361"/>
      </w:pPr>
      <w:hyperlink w:anchor="b282" w:history="1">
        <w:r>
          <w:rPr>
            <w:color w:val="0A3A8C"/>
            <w:u w:val="single"/>
          </w:rPr>
          <w:t xml:space="preserve">§ 225 Gläubigerschutz</w:t>
        </w:r>
      </w:hyperlink>
    </w:p>
    <w:p>
      <w:pPr>
        <w:pStyle w:val="Übersicht"/>
        <w:ind w:left="1361"/>
      </w:pPr>
      <w:hyperlink w:anchor="b283" w:history="1">
        <w:r>
          <w:rPr>
            <w:color w:val="0A3A8C"/>
            <w:u w:val="single"/>
          </w:rPr>
          <w:t xml:space="preserve">§ 226 Kraftloserklärung von Aktien</w:t>
        </w:r>
      </w:hyperlink>
    </w:p>
    <w:p>
      <w:pPr>
        <w:pStyle w:val="Übersicht"/>
        <w:ind w:left="1361"/>
      </w:pPr>
      <w:hyperlink w:anchor="b284" w:history="1">
        <w:r>
          <w:rPr>
            <w:color w:val="0A3A8C"/>
            <w:u w:val="single"/>
          </w:rPr>
          <w:t xml:space="preserve">§ 227 Anmeldung der Durchführung</w:t>
        </w:r>
      </w:hyperlink>
    </w:p>
    <w:p>
      <w:pPr>
        <w:pStyle w:val="Übersicht"/>
        <w:ind w:left="1361"/>
      </w:pPr>
      <w:hyperlink w:anchor="b285" w:history="1">
        <w:r>
          <w:rPr>
            <w:color w:val="0A3A8C"/>
            <w:u w:val="single"/>
          </w:rPr>
          <w:t xml:space="preserve">§ 228 Herabsetzung unter den Mindestnennbetrag</w:t>
        </w:r>
      </w:hyperlink>
    </w:p>
    <w:p>
      <w:pPr>
        <w:pStyle w:val="Übersicht"/>
        <w:ind w:left="1020"/>
      </w:pPr>
      <w:hyperlink w:anchor="b286" w:history="1">
        <w:r>
          <w:rPr>
            <w:b/>
            <w:color w:val="0A3A8C"/>
            <w:u w:val="single"/>
          </w:rPr>
          <w:t xml:space="preserve">Zweiter Unterabschnitt Vereinfachte
Kapitalherabsetzung</w:t>
        </w:r>
      </w:hyperlink>
    </w:p>
    <w:p>
      <w:pPr>
        <w:pStyle w:val="Übersicht"/>
        <w:ind w:left="1361"/>
      </w:pPr>
      <w:hyperlink w:anchor="b287" w:history="1">
        <w:r>
          <w:rPr>
            <w:color w:val="0A3A8C"/>
            <w:u w:val="single"/>
          </w:rPr>
          <w:t xml:space="preserve">§ 229 Voraussetzungen</w:t>
        </w:r>
      </w:hyperlink>
    </w:p>
    <w:p>
      <w:pPr>
        <w:pStyle w:val="Übersicht"/>
        <w:ind w:left="1361"/>
      </w:pPr>
      <w:hyperlink w:anchor="b288" w:history="1">
        <w:r>
          <w:rPr>
            <w:color w:val="0A3A8C"/>
            <w:u w:val="single"/>
          </w:rPr>
          <w:t xml:space="preserve">§ 230 Verbot von Zahlungen an die Aktionäre</w:t>
        </w:r>
      </w:hyperlink>
    </w:p>
    <w:p>
      <w:pPr>
        <w:pStyle w:val="Übersicht"/>
        <w:ind w:left="1361"/>
      </w:pPr>
      <w:hyperlink w:anchor="b289" w:history="1">
        <w:r>
          <w:rPr>
            <w:color w:val="0A3A8C"/>
            <w:u w:val="single"/>
          </w:rPr>
          <w:t xml:space="preserve">§ 231 Beschränkte Einstellung in die Kapitalrücklage und
in die gesetzliche Rücklage</w:t>
        </w:r>
      </w:hyperlink>
    </w:p>
    <w:p>
      <w:pPr>
        <w:pStyle w:val="Übersicht"/>
        <w:ind w:left="1361"/>
      </w:pPr>
      <w:hyperlink w:anchor="b290" w:history="1">
        <w:r>
          <w:rPr>
            <w:color w:val="0A3A8C"/>
            <w:u w:val="single"/>
          </w:rPr>
          <w:t xml:space="preserve">§ 232 Einstellung von Beträgen in die Kapitalrücklage bei zu
hoch angenommenen Verlusten</w:t>
        </w:r>
      </w:hyperlink>
    </w:p>
    <w:p>
      <w:pPr>
        <w:pStyle w:val="Übersicht"/>
        <w:ind w:left="1361"/>
      </w:pPr>
      <w:hyperlink w:anchor="b291" w:history="1">
        <w:r>
          <w:rPr>
            <w:color w:val="0A3A8C"/>
            <w:u w:val="single"/>
          </w:rPr>
          <w:t xml:space="preserve">§ 233 Gewinnausschüttung. Gläubigerschutz</w:t>
        </w:r>
      </w:hyperlink>
    </w:p>
    <w:p>
      <w:pPr>
        <w:pStyle w:val="Übersicht"/>
        <w:ind w:left="1361"/>
      </w:pPr>
      <w:hyperlink w:anchor="b292" w:history="1">
        <w:r>
          <w:rPr>
            <w:color w:val="0A3A8C"/>
            <w:u w:val="single"/>
          </w:rPr>
          <w:t xml:space="preserve">§ 234 Rückwirkung der Kapitalherabsetzung</w:t>
        </w:r>
      </w:hyperlink>
    </w:p>
    <w:p>
      <w:pPr>
        <w:pStyle w:val="Übersicht"/>
        <w:ind w:left="1361"/>
      </w:pPr>
      <w:hyperlink w:anchor="b293" w:history="1">
        <w:r>
          <w:rPr>
            <w:color w:val="0A3A8C"/>
            <w:u w:val="single"/>
          </w:rPr>
          <w:t xml:space="preserve">§ 235 Rückwirkung einer gleichzeitigen Kapitalerhöhung</w:t>
        </w:r>
      </w:hyperlink>
    </w:p>
    <w:p>
      <w:pPr>
        <w:pStyle w:val="Übersicht"/>
        <w:ind w:left="1361"/>
      </w:pPr>
      <w:hyperlink w:anchor="b294" w:history="1">
        <w:r>
          <w:rPr>
            <w:color w:val="0A3A8C"/>
            <w:u w:val="single"/>
          </w:rPr>
          <w:t xml:space="preserve">§ 236 Offenlegung</w:t>
        </w:r>
      </w:hyperlink>
    </w:p>
    <w:p>
      <w:pPr>
        <w:pStyle w:val="Übersicht"/>
        <w:ind w:left="1020"/>
      </w:pPr>
      <w:hyperlink w:anchor="b295" w:history="1">
        <w:r>
          <w:rPr>
            <w:b/>
            <w:color w:val="0A3A8C"/>
            <w:u w:val="single"/>
          </w:rPr>
          <w:t xml:space="preserve">Dritter Unterabschnitt Kapitalherabsetzung durch Einziehung von Aktien. Ausnahme für Stückaktien</w:t>
        </w:r>
      </w:hyperlink>
    </w:p>
    <w:p>
      <w:pPr>
        <w:pStyle w:val="Übersicht"/>
        <w:ind w:left="1361"/>
      </w:pPr>
      <w:hyperlink w:anchor="b296" w:history="1">
        <w:r>
          <w:rPr>
            <w:color w:val="0A3A8C"/>
            <w:u w:val="single"/>
          </w:rPr>
          <w:t xml:space="preserve">§ 237 Voraussetzungen</w:t>
        </w:r>
      </w:hyperlink>
    </w:p>
    <w:p>
      <w:pPr>
        <w:pStyle w:val="Übersicht"/>
        <w:ind w:left="1361"/>
      </w:pPr>
      <w:hyperlink w:anchor="b297" w:history="1">
        <w:r>
          <w:rPr>
            <w:color w:val="0A3A8C"/>
            <w:u w:val="single"/>
          </w:rPr>
          <w:t xml:space="preserve">§ 238 Wirksamwerden der Kapitalherabsetzung</w:t>
        </w:r>
      </w:hyperlink>
    </w:p>
    <w:p>
      <w:pPr>
        <w:pStyle w:val="Übersicht"/>
        <w:ind w:left="1361"/>
      </w:pPr>
      <w:hyperlink w:anchor="b298" w:history="1">
        <w:r>
          <w:rPr>
            <w:color w:val="0A3A8C"/>
            <w:u w:val="single"/>
          </w:rPr>
          <w:t xml:space="preserve">§ 239 Anmeldung der Durchführung</w:t>
        </w:r>
      </w:hyperlink>
    </w:p>
    <w:p>
      <w:pPr>
        <w:pStyle w:val="Übersicht"/>
        <w:ind w:left="1020"/>
      </w:pPr>
      <w:hyperlink w:anchor="b299" w:history="1">
        <w:r>
          <w:rPr>
            <w:b/>
            <w:color w:val="0A3A8C"/>
            <w:u w:val="single"/>
          </w:rPr>
          <w:t xml:space="preserve">Vierter Unterabschnitt Ausweis der
Kapitalherabsetzung</w:t>
        </w:r>
      </w:hyperlink>
    </w:p>
    <w:p>
      <w:pPr>
        <w:pStyle w:val="Übersicht"/>
        <w:ind w:left="1361"/>
      </w:pPr>
      <w:hyperlink w:anchor="b300" w:history="1">
        <w:r>
          <w:rPr>
            <w:color w:val="0A3A8C"/>
            <w:u w:val="single"/>
          </w:rPr>
          <w:t xml:space="preserve">§ 240</w:t>
        </w:r>
      </w:hyperlink>
    </w:p>
    <w:p>
      <w:pPr>
        <w:pStyle w:val="Übersicht"/>
        <w:ind w:left="340"/>
      </w:pPr>
      <w:hyperlink w:anchor="b301" w:history="1">
        <w:r>
          <w:rPr>
            <w:b/>
            <w:color w:val="0A3A8C"/>
            <w:u w:val="single"/>
          </w:rPr>
          <w:t xml:space="preserve">Siebenter Teil Nichtigkeit von
Hauptversammlungsbeschlüssen und des festgestellten
Jahresabschlusses. Sonderprüfung wegen unzulässiger
Unterbewertung</w:t>
        </w:r>
      </w:hyperlink>
    </w:p>
    <w:p>
      <w:pPr>
        <w:pStyle w:val="Übersicht"/>
        <w:ind w:left="680"/>
      </w:pPr>
      <w:hyperlink w:anchor="b302" w:history="1">
        <w:r>
          <w:rPr>
            <w:b/>
            <w:color w:val="0A3A8C"/>
            <w:u w:val="single"/>
          </w:rPr>
          <w:t xml:space="preserve">Erster Abschnitt Nichtigkeit von
Hauptversammlungsbeschlüssen</w:t>
        </w:r>
      </w:hyperlink>
    </w:p>
    <w:p>
      <w:pPr>
        <w:pStyle w:val="Übersicht"/>
        <w:ind w:left="1020"/>
      </w:pPr>
      <w:hyperlink w:anchor="b303" w:history="1">
        <w:r>
          <w:rPr>
            <w:b/>
            <w:color w:val="0A3A8C"/>
            <w:u w:val="single"/>
          </w:rPr>
          <w:t xml:space="preserve">Erster Unterabschnitt Allgemeines</w:t>
        </w:r>
      </w:hyperlink>
    </w:p>
    <w:p>
      <w:pPr>
        <w:pStyle w:val="Übersicht"/>
        <w:ind w:left="1361"/>
      </w:pPr>
      <w:hyperlink w:anchor="b304" w:history="1">
        <w:r>
          <w:rPr>
            <w:color w:val="0A3A8C"/>
            <w:u w:val="single"/>
          </w:rPr>
          <w:t xml:space="preserve">§ 241 Nichtigkeitsgründe</w:t>
        </w:r>
      </w:hyperlink>
    </w:p>
    <w:p>
      <w:pPr>
        <w:pStyle w:val="Übersicht"/>
        <w:ind w:left="1361"/>
      </w:pPr>
      <w:hyperlink w:anchor="b305" w:history="1">
        <w:r>
          <w:rPr>
            <w:color w:val="0A3A8C"/>
            <w:u w:val="single"/>
          </w:rPr>
          <w:t xml:space="preserve">§ 242 Heilung der Nichtigkeit</w:t>
        </w:r>
      </w:hyperlink>
    </w:p>
    <w:p>
      <w:pPr>
        <w:pStyle w:val="Übersicht"/>
        <w:ind w:left="1361"/>
      </w:pPr>
      <w:hyperlink w:anchor="b306" w:history="1">
        <w:r>
          <w:rPr>
            <w:color w:val="0A3A8C"/>
            <w:u w:val="single"/>
          </w:rPr>
          <w:t xml:space="preserve">§ 243 Anfechtungsgründe</w:t>
        </w:r>
      </w:hyperlink>
    </w:p>
    <w:p>
      <w:pPr>
        <w:pStyle w:val="Übersicht"/>
        <w:ind w:left="1361"/>
      </w:pPr>
      <w:hyperlink w:anchor="b307" w:history="1">
        <w:r>
          <w:rPr>
            <w:color w:val="0A3A8C"/>
            <w:u w:val="single"/>
          </w:rPr>
          <w:t xml:space="preserve">§ 244 Bestätigung anfechtbarer Hauptversammlungsbeschlüsse*.</w:t>
        </w:r>
      </w:hyperlink>
    </w:p>
    <w:p>
      <w:pPr>
        <w:pStyle w:val="Übersicht"/>
        <w:ind w:left="1361"/>
      </w:pPr>
      <w:hyperlink w:anchor="b308" w:history="1">
        <w:r>
          <w:rPr>
            <w:color w:val="0A3A8C"/>
            <w:u w:val="single"/>
          </w:rPr>
          <w:t xml:space="preserve">§ 245 Anfechtungsbefugnis</w:t>
        </w:r>
      </w:hyperlink>
    </w:p>
    <w:p>
      <w:pPr>
        <w:pStyle w:val="Übersicht"/>
        <w:ind w:left="1361"/>
      </w:pPr>
      <w:hyperlink w:anchor="b309" w:history="1">
        <w:r>
          <w:rPr>
            <w:color w:val="0A3A8C"/>
            <w:u w:val="single"/>
          </w:rPr>
          <w:t xml:space="preserve">§ 246 Anfechtungsklage</w:t>
        </w:r>
      </w:hyperlink>
    </w:p>
    <w:p>
      <w:pPr>
        <w:pStyle w:val="Übersicht"/>
        <w:ind w:left="1361"/>
      </w:pPr>
      <w:hyperlink w:anchor="b310" w:history="1">
        <w:r>
          <w:rPr>
            <w:color w:val="0A3A8C"/>
            <w:u w:val="single"/>
          </w:rPr>
          <w:t xml:space="preserve">§ 246a Freigabeverfahren</w:t>
        </w:r>
      </w:hyperlink>
    </w:p>
    <w:p>
      <w:pPr>
        <w:pStyle w:val="Übersicht"/>
        <w:ind w:left="1361"/>
      </w:pPr>
      <w:hyperlink w:anchor="b311" w:history="1">
        <w:r>
          <w:rPr>
            <w:color w:val="0A3A8C"/>
            <w:u w:val="single"/>
          </w:rPr>
          <w:t xml:space="preserve">§ 247 Streitwert</w:t>
        </w:r>
      </w:hyperlink>
    </w:p>
    <w:p>
      <w:pPr>
        <w:pStyle w:val="Übersicht"/>
        <w:ind w:left="1361"/>
      </w:pPr>
      <w:hyperlink w:anchor="b312" w:history="1">
        <w:r>
          <w:rPr>
            <w:color w:val="0A3A8C"/>
            <w:u w:val="single"/>
          </w:rPr>
          <w:t xml:space="preserve">§ 248 Urteilswirkung</w:t>
        </w:r>
      </w:hyperlink>
    </w:p>
    <w:p>
      <w:pPr>
        <w:pStyle w:val="Übersicht"/>
        <w:ind w:left="1361"/>
      </w:pPr>
      <w:hyperlink w:anchor="b313" w:history="1">
        <w:r>
          <w:rPr>
            <w:color w:val="0A3A8C"/>
            <w:u w:val="single"/>
          </w:rPr>
          <w:t xml:space="preserve">§ 248a Bekanntmachungen zur Anfechtungsklage</w:t>
        </w:r>
      </w:hyperlink>
    </w:p>
    <w:p>
      <w:pPr>
        <w:pStyle w:val="Übersicht"/>
        <w:ind w:left="1361"/>
      </w:pPr>
      <w:hyperlink w:anchor="b314" w:history="1">
        <w:r>
          <w:rPr>
            <w:color w:val="0A3A8C"/>
            <w:u w:val="single"/>
          </w:rPr>
          <w:t xml:space="preserve">§ 249 Nichtigkeitsklage</w:t>
        </w:r>
      </w:hyperlink>
    </w:p>
    <w:p>
      <w:pPr>
        <w:pStyle w:val="Übersicht"/>
        <w:ind w:left="1020"/>
      </w:pPr>
      <w:hyperlink w:anchor="b315" w:history="1">
        <w:r>
          <w:rPr>
            <w:b/>
            <w:color w:val="0A3A8C"/>
            <w:u w:val="single"/>
          </w:rPr>
          <w:t xml:space="preserve">Zweiter Unterabschnitt Nichtigkeit
bestimmter Hauptversammlungsbeschlüsse</w:t>
        </w:r>
      </w:hyperlink>
    </w:p>
    <w:p>
      <w:pPr>
        <w:pStyle w:val="Übersicht"/>
        <w:ind w:left="1361"/>
      </w:pPr>
      <w:hyperlink w:anchor="b316" w:history="1">
        <w:r>
          <w:rPr>
            <w:color w:val="0A3A8C"/>
            <w:u w:val="single"/>
          </w:rPr>
          <w:t xml:space="preserve">§ 250 Nichtigkeit der Wahl von Aufsichtsratsmitgliedern</w:t>
        </w:r>
      </w:hyperlink>
    </w:p>
    <w:p>
      <w:pPr>
        <w:pStyle w:val="Übersicht"/>
        <w:ind w:left="1361"/>
      </w:pPr>
      <w:hyperlink w:anchor="b317" w:history="1">
        <w:r>
          <w:rPr>
            <w:color w:val="0A3A8C"/>
            <w:u w:val="single"/>
          </w:rPr>
          <w:t xml:space="preserve">§ 251 Anfechtung der Wahl von Aufsichtsratsmitgliedern</w:t>
        </w:r>
      </w:hyperlink>
    </w:p>
    <w:p>
      <w:pPr>
        <w:pStyle w:val="Übersicht"/>
        <w:ind w:left="1361"/>
      </w:pPr>
      <w:hyperlink w:anchor="b318" w:history="1">
        <w:r>
          <w:rPr>
            <w:color w:val="0A3A8C"/>
            <w:u w:val="single"/>
          </w:rPr>
          <w:t xml:space="preserve">§ 252 Urteilswirkung</w:t>
        </w:r>
      </w:hyperlink>
    </w:p>
    <w:p>
      <w:pPr>
        <w:pStyle w:val="Übersicht"/>
        <w:ind w:left="1361"/>
      </w:pPr>
      <w:hyperlink w:anchor="b319" w:history="1">
        <w:r>
          <w:rPr>
            <w:color w:val="0A3A8C"/>
            <w:u w:val="single"/>
          </w:rPr>
          <w:t xml:space="preserve">§ 253 Nichtigkeit des Beschlusses über die Verwendung des
Bilanzgewinns</w:t>
        </w:r>
      </w:hyperlink>
    </w:p>
    <w:p>
      <w:pPr>
        <w:pStyle w:val="Übersicht"/>
        <w:ind w:left="1361"/>
      </w:pPr>
      <w:hyperlink w:anchor="b320" w:history="1">
        <w:r>
          <w:rPr>
            <w:color w:val="0A3A8C"/>
            <w:u w:val="single"/>
          </w:rPr>
          <w:t xml:space="preserve">§ 254 Anfechtung des Beschlusses über die Verwendung des
Bilanzgewinns</w:t>
        </w:r>
      </w:hyperlink>
    </w:p>
    <w:p>
      <w:pPr>
        <w:pStyle w:val="Übersicht"/>
        <w:ind w:left="1361"/>
      </w:pPr>
      <w:hyperlink w:anchor="b321" w:history="1">
        <w:r>
          <w:rPr>
            <w:color w:val="0A3A8C"/>
            <w:u w:val="single"/>
          </w:rPr>
          <w:t xml:space="preserve">§ 255 Anfechtung der Kapitalerhöhung gegen Einlagen</w:t>
        </w:r>
      </w:hyperlink>
    </w:p>
    <w:p>
      <w:pPr>
        <w:pStyle w:val="Übersicht"/>
        <w:ind w:left="1361"/>
      </w:pPr>
      <w:hyperlink w:anchor="b322" w:history="1">
        <w:r>
          <w:rPr>
            <w:color w:val="0A3A8C"/>
            <w:u w:val="single"/>
          </w:rPr>
          <w:t xml:space="preserve">§ 255a Gewährung zusätzlicher Aktien</w:t>
        </w:r>
      </w:hyperlink>
    </w:p>
    <w:p>
      <w:pPr>
        <w:pStyle w:val="Übersicht"/>
        <w:ind w:left="1361"/>
      </w:pPr>
      <w:hyperlink w:anchor="b323" w:history="1">
        <w:r>
          <w:rPr>
            <w:color w:val="0A3A8C"/>
            <w:u w:val="single"/>
          </w:rPr>
          <w:t xml:space="preserve">§ 255b Kapitalerhöhung zur Gewährung zusätzlicher Aktien</w:t>
        </w:r>
      </w:hyperlink>
    </w:p>
    <w:p>
      <w:pPr>
        <w:pStyle w:val="Übersicht"/>
        <w:ind w:left="680"/>
      </w:pPr>
      <w:hyperlink w:anchor="b324" w:history="1">
        <w:r>
          <w:rPr>
            <w:b/>
            <w:color w:val="0A3A8C"/>
            <w:u w:val="single"/>
          </w:rPr>
          <w:t xml:space="preserve">Zweiter Abschnitt Nichtigkeit des
festgestellten Jahresabschlusses</w:t>
        </w:r>
      </w:hyperlink>
    </w:p>
    <w:p>
      <w:pPr>
        <w:pStyle w:val="Übersicht"/>
        <w:ind w:left="1020"/>
      </w:pPr>
      <w:hyperlink w:anchor="b325" w:history="1">
        <w:r>
          <w:rPr>
            <w:color w:val="0A3A8C"/>
            <w:u w:val="single"/>
          </w:rPr>
          <w:t xml:space="preserve">§ 256 Nichtigkeit</w:t>
        </w:r>
      </w:hyperlink>
    </w:p>
    <w:p>
      <w:pPr>
        <w:pStyle w:val="Übersicht"/>
        <w:ind w:left="1020"/>
      </w:pPr>
      <w:hyperlink w:anchor="b326" w:history="1">
        <w:r>
          <w:rPr>
            <w:color w:val="0A3A8C"/>
            <w:u w:val="single"/>
          </w:rPr>
          <w:t xml:space="preserve">§ 257 Anfechtung der Feststellung des Jahresabschlusses durch die
Hauptversammlung</w:t>
        </w:r>
      </w:hyperlink>
    </w:p>
    <w:p>
      <w:pPr>
        <w:pStyle w:val="Übersicht"/>
        <w:ind w:left="680"/>
      </w:pPr>
      <w:hyperlink w:anchor="b327" w:history="1">
        <w:r>
          <w:rPr>
            <w:b/>
            <w:color w:val="0A3A8C"/>
            <w:u w:val="single"/>
          </w:rPr>
          <w:t xml:space="preserve">Dritter Abschnitt Sonderprüfung wegen
unzulässiger Unterbewertung</w:t>
        </w:r>
      </w:hyperlink>
    </w:p>
    <w:p>
      <w:pPr>
        <w:pStyle w:val="Übersicht"/>
        <w:ind w:left="1020"/>
      </w:pPr>
      <w:hyperlink w:anchor="b328" w:history="1">
        <w:r>
          <w:rPr>
            <w:color w:val="0A3A8C"/>
            <w:u w:val="single"/>
          </w:rPr>
          <w:t xml:space="preserve">§ 258 Bestellung der Sonderprüfer</w:t>
        </w:r>
      </w:hyperlink>
    </w:p>
    <w:p>
      <w:pPr>
        <w:pStyle w:val="Übersicht"/>
        <w:ind w:left="1020"/>
      </w:pPr>
      <w:hyperlink w:anchor="b329" w:history="1">
        <w:r>
          <w:rPr>
            <w:color w:val="0A3A8C"/>
            <w:u w:val="single"/>
          </w:rPr>
          <w:t xml:space="preserve">§ 259 Prüfungsbericht. Abschließende Feststellungen</w:t>
        </w:r>
      </w:hyperlink>
    </w:p>
    <w:p>
      <w:pPr>
        <w:pStyle w:val="Übersicht"/>
        <w:ind w:left="1020"/>
      </w:pPr>
      <w:hyperlink w:anchor="b330" w:history="1">
        <w:r>
          <w:rPr>
            <w:color w:val="0A3A8C"/>
            <w:u w:val="single"/>
          </w:rPr>
          <w:t xml:space="preserve">§ 260 Gerichtliche Entscheidung über die abschließenden Feststellungen der Sonderprüfer</w:t>
        </w:r>
      </w:hyperlink>
    </w:p>
    <w:p>
      <w:pPr>
        <w:pStyle w:val="Übersicht"/>
        <w:ind w:left="1020"/>
      </w:pPr>
      <w:hyperlink w:anchor="b331" w:history="1">
        <w:r>
          <w:rPr>
            <w:color w:val="0A3A8C"/>
            <w:u w:val="single"/>
          </w:rPr>
          <w:t xml:space="preserve">§ 261 Entscheidung über den Ertrag auf Grund höherer Bewertung</w:t>
        </w:r>
      </w:hyperlink>
    </w:p>
    <w:p>
      <w:pPr>
        <w:pStyle w:val="Übersicht"/>
        <w:ind w:left="1020"/>
      </w:pPr>
      <w:hyperlink w:anchor="b332" w:history="1">
        <w:r>
          <w:rPr>
            <w:color w:val="0A3A8C"/>
            <w:u w:val="single"/>
          </w:rPr>
          <w:t xml:space="preserve">§ 261a Mitteilungen an die Bundesanstalt für Finanzdienstleistungsaufsicht</w:t>
        </w:r>
      </w:hyperlink>
    </w:p>
    <w:p>
      <w:pPr>
        <w:pStyle w:val="Übersicht"/>
        <w:ind w:left="340"/>
      </w:pPr>
      <w:hyperlink w:anchor="b333" w:history="1">
        <w:r>
          <w:rPr>
            <w:b/>
            <w:color w:val="0A3A8C"/>
            <w:u w:val="single"/>
          </w:rPr>
          <w:t xml:space="preserve">Achter Teil Auflösung und Nichtigerklärung
der Gesellschaft</w:t>
        </w:r>
      </w:hyperlink>
    </w:p>
    <w:p>
      <w:pPr>
        <w:pStyle w:val="Übersicht"/>
        <w:ind w:left="680"/>
      </w:pPr>
      <w:hyperlink w:anchor="b334" w:history="1">
        <w:r>
          <w:rPr>
            <w:b/>
            <w:color w:val="0A3A8C"/>
            <w:u w:val="single"/>
          </w:rPr>
          <w:t xml:space="preserve">Erster Abschnitt Auflösung</w:t>
        </w:r>
      </w:hyperlink>
    </w:p>
    <w:p>
      <w:pPr>
        <w:pStyle w:val="Übersicht"/>
        <w:ind w:left="1020"/>
      </w:pPr>
      <w:hyperlink w:anchor="b335" w:history="1">
        <w:r>
          <w:rPr>
            <w:b/>
            <w:color w:val="0A3A8C"/>
            <w:u w:val="single"/>
          </w:rPr>
          <w:t xml:space="preserve">Erster Unterabschnitt Auflösungsgründe
und Anmeldung</w:t>
        </w:r>
      </w:hyperlink>
    </w:p>
    <w:p>
      <w:pPr>
        <w:pStyle w:val="Übersicht"/>
        <w:ind w:left="1361"/>
      </w:pPr>
      <w:hyperlink w:anchor="b336" w:history="1">
        <w:r>
          <w:rPr>
            <w:color w:val="0A3A8C"/>
            <w:u w:val="single"/>
          </w:rPr>
          <w:t xml:space="preserve">§ 262 Auflösungsgründe</w:t>
        </w:r>
      </w:hyperlink>
    </w:p>
    <w:p>
      <w:pPr>
        <w:pStyle w:val="Übersicht"/>
        <w:ind w:left="1361"/>
      </w:pPr>
      <w:hyperlink w:anchor="b337" w:history="1">
        <w:r>
          <w:rPr>
            <w:color w:val="0A3A8C"/>
            <w:u w:val="single"/>
          </w:rPr>
          <w:t xml:space="preserve">§ 263 Anmeldung und Eintragung der Auflösung</w:t>
        </w:r>
      </w:hyperlink>
    </w:p>
    <w:p>
      <w:pPr>
        <w:pStyle w:val="Übersicht"/>
        <w:ind w:left="1020"/>
      </w:pPr>
      <w:hyperlink w:anchor="b338" w:history="1">
        <w:r>
          <w:rPr>
            <w:b/>
            <w:color w:val="0A3A8C"/>
            <w:u w:val="single"/>
          </w:rPr>
          <w:t xml:space="preserve">Zweiter Unterabschnitt Abwicklung</w:t>
        </w:r>
      </w:hyperlink>
    </w:p>
    <w:p>
      <w:pPr>
        <w:pStyle w:val="Übersicht"/>
        <w:ind w:left="1361"/>
      </w:pPr>
      <w:hyperlink w:anchor="b339" w:history="1">
        <w:r>
          <w:rPr>
            <w:color w:val="0A3A8C"/>
            <w:u w:val="single"/>
          </w:rPr>
          <w:t xml:space="preserve">§ 264 Notwendigkeit der Abwicklung</w:t>
        </w:r>
      </w:hyperlink>
    </w:p>
    <w:p>
      <w:pPr>
        <w:pStyle w:val="Übersicht"/>
        <w:ind w:left="1361"/>
      </w:pPr>
      <w:hyperlink w:anchor="b340" w:history="1">
        <w:r>
          <w:rPr>
            <w:color w:val="0A3A8C"/>
            <w:u w:val="single"/>
          </w:rPr>
          <w:t xml:space="preserve">§ 265 Abwickler</w:t>
        </w:r>
      </w:hyperlink>
    </w:p>
    <w:p>
      <w:pPr>
        <w:pStyle w:val="Übersicht"/>
        <w:ind w:left="1361"/>
      </w:pPr>
      <w:hyperlink w:anchor="b341" w:history="1">
        <w:r>
          <w:rPr>
            <w:color w:val="0A3A8C"/>
            <w:u w:val="single"/>
          </w:rPr>
          <w:t xml:space="preserve">§ 266 Anmeldung der Abwickler</w:t>
        </w:r>
      </w:hyperlink>
    </w:p>
    <w:p>
      <w:pPr>
        <w:pStyle w:val="Übersicht"/>
        <w:ind w:left="1361"/>
      </w:pPr>
      <w:hyperlink w:anchor="b342" w:history="1">
        <w:r>
          <w:rPr>
            <w:color w:val="0A3A8C"/>
            <w:u w:val="single"/>
          </w:rPr>
          <w:t xml:space="preserve">§ 267 Aufruf der Gläubiger</w:t>
        </w:r>
      </w:hyperlink>
    </w:p>
    <w:p>
      <w:pPr>
        <w:pStyle w:val="Übersicht"/>
        <w:ind w:left="1361"/>
      </w:pPr>
      <w:hyperlink w:anchor="b343" w:history="1">
        <w:r>
          <w:rPr>
            <w:color w:val="0A3A8C"/>
            <w:u w:val="single"/>
          </w:rPr>
          <w:t xml:space="preserve">§ 268 Pflichten der Abwickler</w:t>
        </w:r>
      </w:hyperlink>
    </w:p>
    <w:p>
      <w:pPr>
        <w:pStyle w:val="Übersicht"/>
        <w:ind w:left="1361"/>
      </w:pPr>
      <w:hyperlink w:anchor="b344" w:history="1">
        <w:r>
          <w:rPr>
            <w:color w:val="0A3A8C"/>
            <w:u w:val="single"/>
          </w:rPr>
          <w:t xml:space="preserve">§ 269 Vertretung durch die Abwickler</w:t>
        </w:r>
      </w:hyperlink>
    </w:p>
    <w:p>
      <w:pPr>
        <w:pStyle w:val="Übersicht"/>
        <w:ind w:left="1361"/>
      </w:pPr>
      <w:hyperlink w:anchor="b345" w:history="1">
        <w:r>
          <w:rPr>
            <w:color w:val="0A3A8C"/>
            <w:u w:val="single"/>
          </w:rPr>
          <w:t xml:space="preserve">§ 270 Eröffnungsbilanz. Jahresabschluß und Lagebericht</w:t>
        </w:r>
      </w:hyperlink>
    </w:p>
    <w:p>
      <w:pPr>
        <w:pStyle w:val="Übersicht"/>
        <w:ind w:left="1361"/>
      </w:pPr>
      <w:hyperlink w:anchor="b346" w:history="1">
        <w:r>
          <w:rPr>
            <w:color w:val="0A3A8C"/>
            <w:u w:val="single"/>
          </w:rPr>
          <w:t xml:space="preserve">§ 271 Verteilung des Vermögens</w:t>
        </w:r>
      </w:hyperlink>
    </w:p>
    <w:p>
      <w:pPr>
        <w:pStyle w:val="Übersicht"/>
        <w:ind w:left="1361"/>
      </w:pPr>
      <w:hyperlink w:anchor="b347" w:history="1">
        <w:r>
          <w:rPr>
            <w:color w:val="0A3A8C"/>
            <w:u w:val="single"/>
          </w:rPr>
          <w:t xml:space="preserve">§ 272 Gläubigerschutz</w:t>
        </w:r>
      </w:hyperlink>
    </w:p>
    <w:p>
      <w:pPr>
        <w:pStyle w:val="Übersicht"/>
        <w:ind w:left="1361"/>
      </w:pPr>
      <w:hyperlink w:anchor="b348" w:history="1">
        <w:r>
          <w:rPr>
            <w:color w:val="0A3A8C"/>
            <w:u w:val="single"/>
          </w:rPr>
          <w:t xml:space="preserve">§ 273 Schluß der Abwicklung</w:t>
        </w:r>
      </w:hyperlink>
    </w:p>
    <w:p>
      <w:pPr>
        <w:pStyle w:val="Übersicht"/>
        <w:ind w:left="1361"/>
      </w:pPr>
      <w:hyperlink w:anchor="b349" w:history="1">
        <w:r>
          <w:rPr>
            <w:color w:val="0A3A8C"/>
            <w:u w:val="single"/>
          </w:rPr>
          <w:t xml:space="preserve">§ 274 Fortsetzung einer aufgelösten Gesellschaft</w:t>
        </w:r>
      </w:hyperlink>
    </w:p>
    <w:p>
      <w:pPr>
        <w:pStyle w:val="Übersicht"/>
        <w:ind w:left="680"/>
      </w:pPr>
      <w:hyperlink w:anchor="b350" w:history="1">
        <w:r>
          <w:rPr>
            <w:b/>
            <w:color w:val="0A3A8C"/>
            <w:u w:val="single"/>
          </w:rPr>
          <w:t xml:space="preserve">Zweiter Abschnitt Nichtigerklärung der
Gesellschaft</w:t>
        </w:r>
      </w:hyperlink>
    </w:p>
    <w:p>
      <w:pPr>
        <w:pStyle w:val="Übersicht"/>
        <w:ind w:left="1020"/>
      </w:pPr>
      <w:hyperlink w:anchor="b351" w:history="1">
        <w:r>
          <w:rPr>
            <w:color w:val="0A3A8C"/>
            <w:u w:val="single"/>
          </w:rPr>
          <w:t xml:space="preserve">§ 275 Klage auf Nichtigerklärung</w:t>
        </w:r>
      </w:hyperlink>
    </w:p>
    <w:p>
      <w:pPr>
        <w:pStyle w:val="Übersicht"/>
        <w:ind w:left="1020"/>
      </w:pPr>
      <w:hyperlink w:anchor="b352" w:history="1">
        <w:r>
          <w:rPr>
            <w:color w:val="0A3A8C"/>
            <w:u w:val="single"/>
          </w:rPr>
          <w:t xml:space="preserve">§ 276 Heilung von Mängeln</w:t>
        </w:r>
      </w:hyperlink>
    </w:p>
    <w:p>
      <w:pPr>
        <w:pStyle w:val="Übersicht"/>
        <w:ind w:left="1020"/>
      </w:pPr>
      <w:hyperlink w:anchor="b353" w:history="1">
        <w:r>
          <w:rPr>
            <w:color w:val="0A3A8C"/>
            <w:u w:val="single"/>
          </w:rPr>
          <w:t xml:space="preserve">§ 277 Wirkung der Eintragung der Nichtigkeit</w:t>
        </w:r>
      </w:hyperlink>
    </w:p>
    <w:p>
      <w:pPr>
        <w:pStyle w:val="Übersicht"/>
        <w:ind w:left="0"/>
      </w:pPr>
      <w:hyperlink w:anchor="b354" w:history="1">
        <w:r>
          <w:rPr>
            <w:b/>
            <w:color w:val="0A3A8C"/>
            <w:u w:val="single"/>
          </w:rPr>
          <w:t xml:space="preserve">Zweites Buch Kommanditgesellschaft auf Aktien</w:t>
        </w:r>
      </w:hyperlink>
    </w:p>
    <w:p>
      <w:pPr>
        <w:pStyle w:val="Übersicht"/>
        <w:ind w:left="340"/>
      </w:pPr>
      <w:hyperlink w:anchor="b355" w:history="1">
        <w:r>
          <w:rPr>
            <w:color w:val="0A3A8C"/>
            <w:u w:val="single"/>
          </w:rPr>
          <w:t xml:space="preserve">§ 278 Wesen der Kommanditgesellschaft auf Aktien</w:t>
        </w:r>
      </w:hyperlink>
    </w:p>
    <w:p>
      <w:pPr>
        <w:pStyle w:val="Übersicht"/>
        <w:ind w:left="340"/>
      </w:pPr>
      <w:hyperlink w:anchor="b356" w:history="1">
        <w:r>
          <w:rPr>
            <w:color w:val="0A3A8C"/>
            <w:u w:val="single"/>
          </w:rPr>
          <w:t xml:space="preserve">§ 279 Firma</w:t>
        </w:r>
      </w:hyperlink>
    </w:p>
    <w:p>
      <w:pPr>
        <w:pStyle w:val="Übersicht"/>
        <w:ind w:left="340"/>
      </w:pPr>
      <w:hyperlink w:anchor="b357" w:history="1">
        <w:r>
          <w:rPr>
            <w:color w:val="0A3A8C"/>
            <w:u w:val="single"/>
          </w:rPr>
          <w:t xml:space="preserve">§ 280 Feststellung der Satzung. Gründer</w:t>
        </w:r>
      </w:hyperlink>
    </w:p>
    <w:p>
      <w:pPr>
        <w:pStyle w:val="Übersicht"/>
        <w:ind w:left="340"/>
      </w:pPr>
      <w:hyperlink w:anchor="b358" w:history="1">
        <w:r>
          <w:rPr>
            <w:color w:val="0A3A8C"/>
            <w:u w:val="single"/>
          </w:rPr>
          <w:t xml:space="preserve">§ 281 Inhalt der Satzung</w:t>
        </w:r>
      </w:hyperlink>
    </w:p>
    <w:p>
      <w:pPr>
        <w:pStyle w:val="Übersicht"/>
        <w:ind w:left="340"/>
      </w:pPr>
      <w:hyperlink w:anchor="b359" w:history="1">
        <w:r>
          <w:rPr>
            <w:color w:val="0A3A8C"/>
            <w:u w:val="single"/>
          </w:rPr>
          <w:t xml:space="preserve">§ 282 Eintragung der persönlich haftenden Gesellschafter</w:t>
        </w:r>
      </w:hyperlink>
    </w:p>
    <w:p>
      <w:pPr>
        <w:pStyle w:val="Übersicht"/>
        <w:ind w:left="340"/>
      </w:pPr>
      <w:hyperlink w:anchor="b360" w:history="1">
        <w:r>
          <w:rPr>
            <w:color w:val="0A3A8C"/>
            <w:u w:val="single"/>
          </w:rPr>
          <w:t xml:space="preserve">§ 283 Persönlich haftende Gesellschafter</w:t>
        </w:r>
      </w:hyperlink>
    </w:p>
    <w:p>
      <w:pPr>
        <w:pStyle w:val="Übersicht"/>
        <w:ind w:left="340"/>
      </w:pPr>
      <w:hyperlink w:anchor="b361" w:history="1">
        <w:r>
          <w:rPr>
            <w:color w:val="0A3A8C"/>
            <w:u w:val="single"/>
          </w:rPr>
          <w:t xml:space="preserve">§ 284 Wettbewerbsverbot</w:t>
        </w:r>
      </w:hyperlink>
    </w:p>
    <w:p>
      <w:pPr>
        <w:pStyle w:val="Übersicht"/>
        <w:ind w:left="340"/>
      </w:pPr>
      <w:hyperlink w:anchor="b362" w:history="1">
        <w:r>
          <w:rPr>
            <w:color w:val="0A3A8C"/>
            <w:u w:val="single"/>
          </w:rPr>
          <w:t xml:space="preserve">§ 285 Hauptversammlung</w:t>
        </w:r>
      </w:hyperlink>
    </w:p>
    <w:p>
      <w:pPr>
        <w:pStyle w:val="Übersicht"/>
        <w:ind w:left="340"/>
      </w:pPr>
      <w:hyperlink w:anchor="b363" w:history="1">
        <w:r>
          <w:rPr>
            <w:color w:val="0A3A8C"/>
            <w:u w:val="single"/>
          </w:rPr>
          <w:t xml:space="preserve">§ 286 Jahresabschluß. Lagebericht</w:t>
        </w:r>
      </w:hyperlink>
    </w:p>
    <w:p>
      <w:pPr>
        <w:pStyle w:val="Übersicht"/>
        <w:ind w:left="340"/>
      </w:pPr>
      <w:hyperlink w:anchor="b364" w:history="1">
        <w:r>
          <w:rPr>
            <w:color w:val="0A3A8C"/>
            <w:u w:val="single"/>
          </w:rPr>
          <w:t xml:space="preserve">§ 287 Aufsichtsrat</w:t>
        </w:r>
      </w:hyperlink>
    </w:p>
    <w:p>
      <w:pPr>
        <w:pStyle w:val="Übersicht"/>
        <w:ind w:left="340"/>
      </w:pPr>
      <w:hyperlink w:anchor="b365" w:history="1">
        <w:r>
          <w:rPr>
            <w:color w:val="0A3A8C"/>
            <w:u w:val="single"/>
          </w:rPr>
          <w:t xml:space="preserve">§ 288 Entnahmen der persönlich haftenden Gesellschafter. Kreditgewährung</w:t>
        </w:r>
      </w:hyperlink>
    </w:p>
    <w:p>
      <w:pPr>
        <w:pStyle w:val="Übersicht"/>
        <w:ind w:left="340"/>
      </w:pPr>
      <w:hyperlink w:anchor="b366" w:history="1">
        <w:r>
          <w:rPr>
            <w:color w:val="0A3A8C"/>
            <w:u w:val="single"/>
          </w:rPr>
          <w:t xml:space="preserve">§ 289 Auflösung</w:t>
        </w:r>
      </w:hyperlink>
    </w:p>
    <w:p>
      <w:pPr>
        <w:pStyle w:val="Übersicht"/>
        <w:ind w:left="340"/>
      </w:pPr>
      <w:hyperlink w:anchor="b367" w:history="1">
        <w:r>
          <w:rPr>
            <w:color w:val="0A3A8C"/>
            <w:u w:val="single"/>
          </w:rPr>
          <w:t xml:space="preserve">§ 290 Abwicklung</w:t>
        </w:r>
      </w:hyperlink>
    </w:p>
    <w:p>
      <w:pPr>
        <w:pStyle w:val="Übersicht"/>
        <w:ind w:left="0"/>
      </w:pPr>
      <w:hyperlink w:anchor="b368" w:history="1">
        <w:r>
          <w:rPr>
            <w:b/>
            <w:color w:val="0A3A8C"/>
            <w:u w:val="single"/>
          </w:rPr>
          <w:t xml:space="preserve">Drittes Buch Verbundene Unternehmen</w:t>
        </w:r>
      </w:hyperlink>
    </w:p>
    <w:p>
      <w:pPr>
        <w:pStyle w:val="Übersicht"/>
        <w:ind w:left="340"/>
      </w:pPr>
      <w:hyperlink w:anchor="b369" w:history="1">
        <w:r>
          <w:rPr>
            <w:b/>
            <w:color w:val="0A3A8C"/>
            <w:u w:val="single"/>
          </w:rPr>
          <w:t xml:space="preserve">Erster Teil Unternehmensverträge</w:t>
        </w:r>
      </w:hyperlink>
    </w:p>
    <w:p>
      <w:pPr>
        <w:pStyle w:val="Übersicht"/>
        <w:ind w:left="680"/>
      </w:pPr>
      <w:hyperlink w:anchor="b370" w:history="1">
        <w:r>
          <w:rPr>
            <w:b/>
            <w:color w:val="0A3A8C"/>
            <w:u w:val="single"/>
          </w:rPr>
          <w:t xml:space="preserve">Erster Abschnitt Arten von
Unternehmensverträgen</w:t>
        </w:r>
      </w:hyperlink>
    </w:p>
    <w:p>
      <w:pPr>
        <w:pStyle w:val="Übersicht"/>
        <w:ind w:left="1020"/>
      </w:pPr>
      <w:hyperlink w:anchor="b371" w:history="1">
        <w:r>
          <w:rPr>
            <w:color w:val="0A3A8C"/>
            <w:u w:val="single"/>
          </w:rPr>
          <w:t xml:space="preserve">§ 291 Beherrschungsvertrag. Gewinnabführungsvertrag</w:t>
        </w:r>
      </w:hyperlink>
    </w:p>
    <w:p>
      <w:pPr>
        <w:pStyle w:val="Übersicht"/>
        <w:ind w:left="1020"/>
      </w:pPr>
      <w:hyperlink w:anchor="b372" w:history="1">
        <w:r>
          <w:rPr>
            <w:color w:val="0A3A8C"/>
            <w:u w:val="single"/>
          </w:rPr>
          <w:t xml:space="preserve">§ 292 Andere Unternehmensverträge</w:t>
        </w:r>
      </w:hyperlink>
    </w:p>
    <w:p>
      <w:pPr>
        <w:pStyle w:val="Übersicht"/>
        <w:ind w:left="680"/>
      </w:pPr>
      <w:hyperlink w:anchor="b373" w:history="1">
        <w:r>
          <w:rPr>
            <w:b/>
            <w:color w:val="0A3A8C"/>
            <w:u w:val="single"/>
          </w:rPr>
          <w:t xml:space="preserve">Zweiter Abschnitt Abschluß, Änderung
und Beendigung von Unternehmensverträgen</w:t>
        </w:r>
      </w:hyperlink>
    </w:p>
    <w:p>
      <w:pPr>
        <w:pStyle w:val="Übersicht"/>
        <w:ind w:left="1020"/>
      </w:pPr>
      <w:hyperlink w:anchor="b374" w:history="1">
        <w:r>
          <w:rPr>
            <w:color w:val="0A3A8C"/>
            <w:u w:val="single"/>
          </w:rPr>
          <w:t xml:space="preserve">§ 293 Zustimmung der Hauptversammlung</w:t>
        </w:r>
      </w:hyperlink>
    </w:p>
    <w:p>
      <w:pPr>
        <w:pStyle w:val="Übersicht"/>
        <w:ind w:left="1020"/>
      </w:pPr>
      <w:hyperlink w:anchor="b375" w:history="1">
        <w:r>
          <w:rPr>
            <w:color w:val="0A3A8C"/>
            <w:u w:val="single"/>
          </w:rPr>
          <w:t xml:space="preserve">§ 293a Bericht über den Unternehmensvertrag</w:t>
        </w:r>
      </w:hyperlink>
    </w:p>
    <w:p>
      <w:pPr>
        <w:pStyle w:val="Übersicht"/>
        <w:ind w:left="1020"/>
      </w:pPr>
      <w:hyperlink w:anchor="b376" w:history="1">
        <w:r>
          <w:rPr>
            <w:color w:val="0A3A8C"/>
            <w:u w:val="single"/>
          </w:rPr>
          <w:t xml:space="preserve">§ 293b Prüfung des Unternehmensvertrags</w:t>
        </w:r>
      </w:hyperlink>
    </w:p>
    <w:p>
      <w:pPr>
        <w:pStyle w:val="Übersicht"/>
        <w:ind w:left="1020"/>
      </w:pPr>
      <w:hyperlink w:anchor="b377" w:history="1">
        <w:r>
          <w:rPr>
            <w:color w:val="0A3A8C"/>
            <w:u w:val="single"/>
          </w:rPr>
          <w:t xml:space="preserve">§ 293c Bestellung der Vertragsprüfer</w:t>
        </w:r>
      </w:hyperlink>
    </w:p>
    <w:p>
      <w:pPr>
        <w:pStyle w:val="Übersicht"/>
        <w:ind w:left="1020"/>
      </w:pPr>
      <w:hyperlink w:anchor="b378" w:history="1">
        <w:r>
          <w:rPr>
            <w:color w:val="0A3A8C"/>
            <w:u w:val="single"/>
          </w:rPr>
          <w:t xml:space="preserve">§ 293d Auswahl, Stellung und Verantwortlichkeit der Vertragsprüfer</w:t>
        </w:r>
      </w:hyperlink>
    </w:p>
    <w:p>
      <w:pPr>
        <w:pStyle w:val="Übersicht"/>
        <w:ind w:left="1020"/>
      </w:pPr>
      <w:hyperlink w:anchor="b379" w:history="1">
        <w:r>
          <w:rPr>
            <w:color w:val="0A3A8C"/>
            <w:u w:val="single"/>
          </w:rPr>
          <w:t xml:space="preserve">§ 293e Prüfungsbericht</w:t>
        </w:r>
      </w:hyperlink>
    </w:p>
    <w:p>
      <w:pPr>
        <w:pStyle w:val="Übersicht"/>
        <w:ind w:left="1020"/>
      </w:pPr>
      <w:hyperlink w:anchor="b380" w:history="1">
        <w:r>
          <w:rPr>
            <w:color w:val="0A3A8C"/>
            <w:u w:val="single"/>
          </w:rPr>
          <w:t xml:space="preserve">§ 293f Vorbereitung der Hauptversammlung</w:t>
        </w:r>
      </w:hyperlink>
    </w:p>
    <w:p>
      <w:pPr>
        <w:pStyle w:val="Übersicht"/>
        <w:ind w:left="1020"/>
      </w:pPr>
      <w:hyperlink w:anchor="b381" w:history="1">
        <w:r>
          <w:rPr>
            <w:color w:val="0A3A8C"/>
            <w:u w:val="single"/>
          </w:rPr>
          <w:t xml:space="preserve">§ 293g Durchführung der Hauptversammlung</w:t>
        </w:r>
      </w:hyperlink>
    </w:p>
    <w:p>
      <w:pPr>
        <w:pStyle w:val="Übersicht"/>
        <w:ind w:left="1020"/>
      </w:pPr>
      <w:hyperlink w:anchor="b382" w:history="1">
        <w:r>
          <w:rPr>
            <w:color w:val="0A3A8C"/>
            <w:u w:val="single"/>
          </w:rPr>
          <w:t xml:space="preserve">§ 294 Eintragung. Wirksamwerden</w:t>
        </w:r>
      </w:hyperlink>
    </w:p>
    <w:p>
      <w:pPr>
        <w:pStyle w:val="Übersicht"/>
        <w:ind w:left="1020"/>
      </w:pPr>
      <w:hyperlink w:anchor="b383" w:history="1">
        <w:r>
          <w:rPr>
            <w:color w:val="0A3A8C"/>
            <w:u w:val="single"/>
          </w:rPr>
          <w:t xml:space="preserve">§ 295 Änderung</w:t>
        </w:r>
      </w:hyperlink>
    </w:p>
    <w:p>
      <w:pPr>
        <w:pStyle w:val="Übersicht"/>
        <w:ind w:left="1020"/>
      </w:pPr>
      <w:hyperlink w:anchor="b384" w:history="1">
        <w:r>
          <w:rPr>
            <w:color w:val="0A3A8C"/>
            <w:u w:val="single"/>
          </w:rPr>
          <w:t xml:space="preserve">§ 296 Aufhebung</w:t>
        </w:r>
      </w:hyperlink>
    </w:p>
    <w:p>
      <w:pPr>
        <w:pStyle w:val="Übersicht"/>
        <w:ind w:left="1020"/>
      </w:pPr>
      <w:hyperlink w:anchor="b385" w:history="1">
        <w:r>
          <w:rPr>
            <w:color w:val="0A3A8C"/>
            <w:u w:val="single"/>
          </w:rPr>
          <w:t xml:space="preserve">§ 297 Kündigung</w:t>
        </w:r>
      </w:hyperlink>
    </w:p>
    <w:p>
      <w:pPr>
        <w:pStyle w:val="Übersicht"/>
        <w:ind w:left="1020"/>
      </w:pPr>
      <w:hyperlink w:anchor="b386" w:history="1">
        <w:r>
          <w:rPr>
            <w:color w:val="0A3A8C"/>
            <w:u w:val="single"/>
          </w:rPr>
          <w:t xml:space="preserve">§ 298 Anmeldung und Eintragung</w:t>
        </w:r>
      </w:hyperlink>
    </w:p>
    <w:p>
      <w:pPr>
        <w:pStyle w:val="Übersicht"/>
        <w:ind w:left="1020"/>
      </w:pPr>
      <w:hyperlink w:anchor="b387" w:history="1">
        <w:r>
          <w:rPr>
            <w:color w:val="0A3A8C"/>
            <w:u w:val="single"/>
          </w:rPr>
          <w:t xml:space="preserve">§ 299 Ausschluß von Weisungen</w:t>
        </w:r>
      </w:hyperlink>
    </w:p>
    <w:p>
      <w:pPr>
        <w:pStyle w:val="Übersicht"/>
        <w:ind w:left="680"/>
      </w:pPr>
      <w:hyperlink w:anchor="b388" w:history="1">
        <w:r>
          <w:rPr>
            <w:b/>
            <w:color w:val="0A3A8C"/>
            <w:u w:val="single"/>
          </w:rPr>
          <w:t xml:space="preserve">Dritter Abschnitt Sicherung der
Gesellschaft und der Gläubiger</w:t>
        </w:r>
      </w:hyperlink>
    </w:p>
    <w:p>
      <w:pPr>
        <w:pStyle w:val="Übersicht"/>
        <w:ind w:left="1020"/>
      </w:pPr>
      <w:hyperlink w:anchor="b389" w:history="1">
        <w:r>
          <w:rPr>
            <w:color w:val="0A3A8C"/>
            <w:u w:val="single"/>
          </w:rPr>
          <w:t xml:space="preserve">§ 300 Gesetzliche Rücklage</w:t>
        </w:r>
      </w:hyperlink>
    </w:p>
    <w:p>
      <w:pPr>
        <w:pStyle w:val="Übersicht"/>
        <w:ind w:left="1020"/>
      </w:pPr>
      <w:hyperlink w:anchor="b390" w:history="1">
        <w:r>
          <w:rPr>
            <w:color w:val="0A3A8C"/>
            <w:u w:val="single"/>
          </w:rPr>
          <w:t xml:space="preserve">§ 301 Höchstbetrag der Gewinnabführung</w:t>
        </w:r>
      </w:hyperlink>
    </w:p>
    <w:p>
      <w:pPr>
        <w:pStyle w:val="Übersicht"/>
        <w:ind w:left="1020"/>
      </w:pPr>
      <w:hyperlink w:anchor="b391" w:history="1">
        <w:r>
          <w:rPr>
            <w:color w:val="0A3A8C"/>
            <w:u w:val="single"/>
          </w:rPr>
          <w:t xml:space="preserve">§ 302 Verlustübernahme</w:t>
        </w:r>
      </w:hyperlink>
    </w:p>
    <w:p>
      <w:pPr>
        <w:pStyle w:val="Übersicht"/>
        <w:ind w:left="1020"/>
      </w:pPr>
      <w:hyperlink w:anchor="b392" w:history="1">
        <w:r>
          <w:rPr>
            <w:color w:val="0A3A8C"/>
            <w:u w:val="single"/>
          </w:rPr>
          <w:t xml:space="preserve">§ 303 Gläubigerschutz</w:t>
        </w:r>
      </w:hyperlink>
    </w:p>
    <w:p>
      <w:pPr>
        <w:pStyle w:val="Übersicht"/>
        <w:ind w:left="680"/>
      </w:pPr>
      <w:hyperlink w:anchor="b393" w:history="1">
        <w:r>
          <w:rPr>
            <w:b/>
            <w:color w:val="0A3A8C"/>
            <w:u w:val="single"/>
          </w:rPr>
          <w:t xml:space="preserve">Vierter Abschnitt Sicherung der
außenstehenden Aktionäre bei Beherrschungs- und
Gewinnabführungsverträgen</w:t>
        </w:r>
      </w:hyperlink>
    </w:p>
    <w:p>
      <w:pPr>
        <w:pStyle w:val="Übersicht"/>
        <w:ind w:left="1020"/>
      </w:pPr>
      <w:hyperlink w:anchor="b394" w:history="1">
        <w:r>
          <w:rPr>
            <w:color w:val="0A3A8C"/>
            <w:u w:val="single"/>
          </w:rPr>
          <w:t xml:space="preserve">§ 304 Angemessener Ausgleich</w:t>
        </w:r>
      </w:hyperlink>
    </w:p>
    <w:p>
      <w:pPr>
        <w:pStyle w:val="Übersicht"/>
        <w:ind w:left="1020"/>
      </w:pPr>
      <w:hyperlink w:anchor="b395" w:history="1">
        <w:r>
          <w:rPr>
            <w:color w:val="0A3A8C"/>
            <w:u w:val="single"/>
          </w:rPr>
          <w:t xml:space="preserve">§ 305 Abfindung</w:t>
        </w:r>
      </w:hyperlink>
    </w:p>
    <w:p>
      <w:pPr>
        <w:pStyle w:val="Übersicht"/>
        <w:ind w:left="1020"/>
      </w:pPr>
      <w:hyperlink w:anchor="b396" w:history="1">
        <w:r>
          <w:rPr>
            <w:color w:val="0A3A8C"/>
            <w:u w:val="single"/>
          </w:rPr>
          <w:t xml:space="preserve">§ 306</w:t>
        </w:r>
      </w:hyperlink>
    </w:p>
    <w:p>
      <w:pPr>
        <w:pStyle w:val="Übersicht"/>
        <w:ind w:left="1020"/>
      </w:pPr>
      <w:hyperlink w:anchor="b397" w:history="1">
        <w:r>
          <w:rPr>
            <w:color w:val="0A3A8C"/>
            <w:u w:val="single"/>
          </w:rPr>
          <w:t xml:space="preserve">§ 307 Vertragsbeendigung zur Sicherung
außenstehender Aktionäre</w:t>
        </w:r>
      </w:hyperlink>
    </w:p>
    <w:p>
      <w:pPr>
        <w:pStyle w:val="Übersicht"/>
        <w:ind w:left="340"/>
      </w:pPr>
      <w:hyperlink w:anchor="b398" w:history="1">
        <w:r>
          <w:rPr>
            <w:b/>
            <w:color w:val="0A3A8C"/>
            <w:u w:val="single"/>
          </w:rPr>
          <w:t xml:space="preserve">Zweiter Teil Leitungsmacht und
Verantwortlichkeit bei Abhängigkeit von Unternehmen</w:t>
        </w:r>
      </w:hyperlink>
    </w:p>
    <w:p>
      <w:pPr>
        <w:pStyle w:val="Übersicht"/>
        <w:ind w:left="680"/>
      </w:pPr>
      <w:hyperlink w:anchor="b399" w:history="1">
        <w:r>
          <w:rPr>
            <w:b/>
            <w:color w:val="0A3A8C"/>
            <w:u w:val="single"/>
          </w:rPr>
          <w:t xml:space="preserve">Erster Abschnitt Leitungsmacht und
Verantwortlichkeit bei Bestehen eines Beherrschungsvertrags</w:t>
        </w:r>
      </w:hyperlink>
    </w:p>
    <w:p>
      <w:pPr>
        <w:pStyle w:val="Übersicht"/>
        <w:ind w:left="1020"/>
      </w:pPr>
      <w:hyperlink w:anchor="b400" w:history="1">
        <w:r>
          <w:rPr>
            <w:color w:val="0A3A8C"/>
            <w:u w:val="single"/>
          </w:rPr>
          <w:t xml:space="preserve">§ 308 Leitungsmacht</w:t>
        </w:r>
      </w:hyperlink>
    </w:p>
    <w:p>
      <w:pPr>
        <w:pStyle w:val="Übersicht"/>
        <w:ind w:left="1020"/>
      </w:pPr>
      <w:hyperlink w:anchor="b401" w:history="1">
        <w:r>
          <w:rPr>
            <w:color w:val="0A3A8C"/>
            <w:u w:val="single"/>
          </w:rPr>
          <w:t xml:space="preserve">§ 309 Verantwortlichkeit der gesetzlichen Vertreter des
herrschenden Unternehmens</w:t>
        </w:r>
      </w:hyperlink>
    </w:p>
    <w:p>
      <w:pPr>
        <w:pStyle w:val="Übersicht"/>
        <w:ind w:left="1020"/>
      </w:pPr>
      <w:hyperlink w:anchor="b402" w:history="1">
        <w:r>
          <w:rPr>
            <w:color w:val="0A3A8C"/>
            <w:u w:val="single"/>
          </w:rPr>
          <w:t xml:space="preserve">§ 310 Verantwortlichkeit der Verwaltungsmitglieder der
Gesellschaft</w:t>
        </w:r>
      </w:hyperlink>
    </w:p>
    <w:p>
      <w:pPr>
        <w:pStyle w:val="Übersicht"/>
        <w:ind w:left="680"/>
      </w:pPr>
      <w:hyperlink w:anchor="b403" w:history="1">
        <w:r>
          <w:rPr>
            <w:b/>
            <w:color w:val="0A3A8C"/>
            <w:u w:val="single"/>
          </w:rPr>
          <w:t xml:space="preserve">Zweiter Abschnitt Verantwortlichkeit
bei Fehlen eines Beherrschungsvertrags</w:t>
        </w:r>
      </w:hyperlink>
    </w:p>
    <w:p>
      <w:pPr>
        <w:pStyle w:val="Übersicht"/>
        <w:ind w:left="1020"/>
      </w:pPr>
      <w:hyperlink w:anchor="b404" w:history="1">
        <w:r>
          <w:rPr>
            <w:color w:val="0A3A8C"/>
            <w:u w:val="single"/>
          </w:rPr>
          <w:t xml:space="preserve">§ 311 Schranken des Einflusses</w:t>
        </w:r>
      </w:hyperlink>
    </w:p>
    <w:p>
      <w:pPr>
        <w:pStyle w:val="Übersicht"/>
        <w:ind w:left="1020"/>
      </w:pPr>
      <w:hyperlink w:anchor="b405" w:history="1">
        <w:r>
          <w:rPr>
            <w:color w:val="0A3A8C"/>
            <w:u w:val="single"/>
          </w:rPr>
          <w:t xml:space="preserve">§ 312 Bericht des Vorstands über Beziehungen zu verbundenen
Unternehmen</w:t>
        </w:r>
      </w:hyperlink>
    </w:p>
    <w:p>
      <w:pPr>
        <w:pStyle w:val="Übersicht"/>
        <w:ind w:left="1020"/>
      </w:pPr>
      <w:hyperlink w:anchor="b406" w:history="1">
        <w:r>
          <w:rPr>
            <w:color w:val="0A3A8C"/>
            <w:u w:val="single"/>
          </w:rPr>
          <w:t xml:space="preserve">§ 313 Prüfung durch den Abschlußprüfer</w:t>
        </w:r>
      </w:hyperlink>
    </w:p>
    <w:p>
      <w:pPr>
        <w:pStyle w:val="Übersicht"/>
        <w:ind w:left="1020"/>
      </w:pPr>
      <w:hyperlink w:anchor="b407" w:history="1">
        <w:r>
          <w:rPr>
            <w:color w:val="0A3A8C"/>
            <w:u w:val="single"/>
          </w:rPr>
          <w:t xml:space="preserve">§ 314 Prüfung durch den Aufsichtsrat</w:t>
        </w:r>
      </w:hyperlink>
    </w:p>
    <w:p>
      <w:pPr>
        <w:pStyle w:val="Übersicht"/>
        <w:ind w:left="1020"/>
      </w:pPr>
      <w:hyperlink w:anchor="b408" w:history="1">
        <w:r>
          <w:rPr>
            <w:color w:val="0A3A8C"/>
            <w:u w:val="single"/>
          </w:rPr>
          <w:t xml:space="preserve">§ 315 Sonderprüfung</w:t>
        </w:r>
      </w:hyperlink>
    </w:p>
    <w:p>
      <w:pPr>
        <w:pStyle w:val="Übersicht"/>
        <w:ind w:left="1020"/>
      </w:pPr>
      <w:hyperlink w:anchor="b409" w:history="1">
        <w:r>
          <w:rPr>
            <w:color w:val="0A3A8C"/>
            <w:u w:val="single"/>
          </w:rPr>
          <w:t xml:space="preserve">§ 316 Kein Bericht über Beziehungen zu verbundenen Unternehmen
bei Gewinnabführungsvertrag</w:t>
        </w:r>
      </w:hyperlink>
    </w:p>
    <w:p>
      <w:pPr>
        <w:pStyle w:val="Übersicht"/>
        <w:ind w:left="1020"/>
      </w:pPr>
      <w:hyperlink w:anchor="b410" w:history="1">
        <w:r>
          <w:rPr>
            <w:color w:val="0A3A8C"/>
            <w:u w:val="single"/>
          </w:rPr>
          <w:t xml:space="preserve">§ 317 Verantwortlichkeit des herrschenden Unternehmens und seiner
gesetzlichen Vertreter</w:t>
        </w:r>
      </w:hyperlink>
    </w:p>
    <w:p>
      <w:pPr>
        <w:pStyle w:val="Übersicht"/>
        <w:ind w:left="1020"/>
      </w:pPr>
      <w:hyperlink w:anchor="b411" w:history="1">
        <w:r>
          <w:rPr>
            <w:color w:val="0A3A8C"/>
            <w:u w:val="single"/>
          </w:rPr>
          <w:t xml:space="preserve">§ 318 Verantwortlichkeit der Verwaltungsmitglieder der
Gesellschaft</w:t>
        </w:r>
      </w:hyperlink>
    </w:p>
    <w:p>
      <w:pPr>
        <w:pStyle w:val="Übersicht"/>
        <w:ind w:left="340"/>
      </w:pPr>
      <w:hyperlink w:anchor="b412" w:history="1">
        <w:r>
          <w:rPr>
            <w:b/>
            <w:color w:val="0A3A8C"/>
            <w:u w:val="single"/>
          </w:rPr>
          <w:t xml:space="preserve">Dritter Teil Eingegliederte Gesellschaften</w:t>
        </w:r>
      </w:hyperlink>
    </w:p>
    <w:p>
      <w:pPr>
        <w:pStyle w:val="Übersicht"/>
        <w:ind w:left="680"/>
      </w:pPr>
      <w:hyperlink w:anchor="b413" w:history="1">
        <w:r>
          <w:rPr>
            <w:color w:val="0A3A8C"/>
            <w:u w:val="single"/>
          </w:rPr>
          <w:t xml:space="preserve">§ 319 Eingliederung</w:t>
        </w:r>
      </w:hyperlink>
    </w:p>
    <w:p>
      <w:pPr>
        <w:pStyle w:val="Übersicht"/>
        <w:ind w:left="680"/>
      </w:pPr>
      <w:hyperlink w:anchor="b414" w:history="1">
        <w:r>
          <w:rPr>
            <w:color w:val="0A3A8C"/>
            <w:u w:val="single"/>
          </w:rPr>
          <w:t xml:space="preserve">§ 320 Eingliederung durch Mehrheitsbeschluß</w:t>
        </w:r>
      </w:hyperlink>
    </w:p>
    <w:p>
      <w:pPr>
        <w:pStyle w:val="Übersicht"/>
        <w:ind w:left="680"/>
      </w:pPr>
      <w:hyperlink w:anchor="b415" w:history="1">
        <w:r>
          <w:rPr>
            <w:color w:val="0A3A8C"/>
            <w:u w:val="single"/>
          </w:rPr>
          <w:t xml:space="preserve">§ 320a Wirkungen der Eingliederung</w:t>
        </w:r>
      </w:hyperlink>
    </w:p>
    <w:p>
      <w:pPr>
        <w:pStyle w:val="Übersicht"/>
        <w:ind w:left="680"/>
      </w:pPr>
      <w:hyperlink w:anchor="b416" w:history="1">
        <w:r>
          <w:rPr>
            <w:color w:val="0A3A8C"/>
            <w:u w:val="single"/>
          </w:rPr>
          <w:t xml:space="preserve">§ 320b Abfindung der ausgeschiedenen Aktionäre</w:t>
        </w:r>
      </w:hyperlink>
    </w:p>
    <w:p>
      <w:pPr>
        <w:pStyle w:val="Übersicht"/>
        <w:ind w:left="680"/>
      </w:pPr>
      <w:hyperlink w:anchor="b417" w:history="1">
        <w:r>
          <w:rPr>
            <w:color w:val="0A3A8C"/>
            <w:u w:val="single"/>
          </w:rPr>
          <w:t xml:space="preserve">§ 321 Gläubigerschutz</w:t>
        </w:r>
      </w:hyperlink>
    </w:p>
    <w:p>
      <w:pPr>
        <w:pStyle w:val="Übersicht"/>
        <w:ind w:left="680"/>
      </w:pPr>
      <w:hyperlink w:anchor="b418" w:history="1">
        <w:r>
          <w:rPr>
            <w:color w:val="0A3A8C"/>
            <w:u w:val="single"/>
          </w:rPr>
          <w:t xml:space="preserve">§ 322 Haftung der Hauptgesellschaft</w:t>
        </w:r>
      </w:hyperlink>
    </w:p>
    <w:p>
      <w:pPr>
        <w:pStyle w:val="Übersicht"/>
        <w:ind w:left="680"/>
      </w:pPr>
      <w:hyperlink w:anchor="b419" w:history="1">
        <w:r>
          <w:rPr>
            <w:color w:val="0A3A8C"/>
            <w:u w:val="single"/>
          </w:rPr>
          <w:t xml:space="preserve">§ 323 Leitungsmacht der Hauptgesellschaft und Verantwortlichkeit
der Vorstandsmitglieder</w:t>
        </w:r>
      </w:hyperlink>
    </w:p>
    <w:p>
      <w:pPr>
        <w:pStyle w:val="Übersicht"/>
        <w:ind w:left="680"/>
      </w:pPr>
      <w:hyperlink w:anchor="b420" w:history="1">
        <w:r>
          <w:rPr>
            <w:color w:val="0A3A8C"/>
            <w:u w:val="single"/>
          </w:rPr>
          <w:t xml:space="preserve">§ 324 Gesetzliche Rücklage. Gewinnabführung. Verlustübernahme</w:t>
        </w:r>
      </w:hyperlink>
    </w:p>
    <w:p>
      <w:pPr>
        <w:pStyle w:val="Übersicht"/>
        <w:ind w:left="680"/>
      </w:pPr>
      <w:hyperlink w:anchor="b421" w:history="1">
        <w:r>
          <w:rPr>
            <w:color w:val="0A3A8C"/>
            <w:u w:val="single"/>
          </w:rPr>
          <w:t xml:space="preserve">§ 325</w:t>
        </w:r>
      </w:hyperlink>
    </w:p>
    <w:p>
      <w:pPr>
        <w:pStyle w:val="Übersicht"/>
        <w:ind w:left="680"/>
      </w:pPr>
      <w:hyperlink w:anchor="b422" w:history="1">
        <w:r>
          <w:rPr>
            <w:color w:val="0A3A8C"/>
            <w:u w:val="single"/>
          </w:rPr>
          <w:t xml:space="preserve">§ 326 Auskunftsrecht der Aktionäre der Hauptgesellschaft</w:t>
        </w:r>
      </w:hyperlink>
    </w:p>
    <w:p>
      <w:pPr>
        <w:pStyle w:val="Übersicht"/>
        <w:ind w:left="680"/>
      </w:pPr>
      <w:hyperlink w:anchor="b423" w:history="1">
        <w:r>
          <w:rPr>
            <w:color w:val="0A3A8C"/>
            <w:u w:val="single"/>
          </w:rPr>
          <w:t xml:space="preserve">§ 327 Ende der Eingliederung</w:t>
        </w:r>
      </w:hyperlink>
    </w:p>
    <w:p>
      <w:pPr>
        <w:pStyle w:val="Übersicht"/>
        <w:ind w:left="340"/>
      </w:pPr>
      <w:hyperlink w:anchor="b424" w:history="1">
        <w:r>
          <w:rPr>
            <w:b/>
            <w:color w:val="0A3A8C"/>
            <w:u w:val="single"/>
          </w:rPr>
          <w:t xml:space="preserve">Vierter Teil Ausschluss von Minderheitsaktionären</w:t>
        </w:r>
      </w:hyperlink>
    </w:p>
    <w:p>
      <w:pPr>
        <w:pStyle w:val="Übersicht"/>
        <w:ind w:left="680"/>
      </w:pPr>
      <w:hyperlink w:anchor="b425" w:history="1">
        <w:r>
          <w:rPr>
            <w:color w:val="0A3A8C"/>
            <w:u w:val="single"/>
          </w:rPr>
          <w:t xml:space="preserve">§ 327a Übertragung von Aktien gegen Barabfindung</w:t>
        </w:r>
      </w:hyperlink>
    </w:p>
    <w:p>
      <w:pPr>
        <w:pStyle w:val="Übersicht"/>
        <w:ind w:left="680"/>
      </w:pPr>
      <w:hyperlink w:anchor="b426" w:history="1">
        <w:r>
          <w:rPr>
            <w:color w:val="0A3A8C"/>
            <w:u w:val="single"/>
          </w:rPr>
          <w:t xml:space="preserve">§ 327b Barabfindung</w:t>
        </w:r>
      </w:hyperlink>
    </w:p>
    <w:p>
      <w:pPr>
        <w:pStyle w:val="Übersicht"/>
        <w:ind w:left="680"/>
      </w:pPr>
      <w:hyperlink w:anchor="b427" w:history="1">
        <w:r>
          <w:rPr>
            <w:color w:val="0A3A8C"/>
            <w:u w:val="single"/>
          </w:rPr>
          <w:t xml:space="preserve">§ 327c Vorbereitung der Hauptversammlung</w:t>
        </w:r>
      </w:hyperlink>
    </w:p>
    <w:p>
      <w:pPr>
        <w:pStyle w:val="Übersicht"/>
        <w:ind w:left="680"/>
      </w:pPr>
      <w:hyperlink w:anchor="b428" w:history="1">
        <w:r>
          <w:rPr>
            <w:color w:val="0A3A8C"/>
            <w:u w:val="single"/>
          </w:rPr>
          <w:t xml:space="preserve">§ 327d Durchführung der Hauptversammlung</w:t>
        </w:r>
      </w:hyperlink>
    </w:p>
    <w:p>
      <w:pPr>
        <w:pStyle w:val="Übersicht"/>
        <w:ind w:left="680"/>
      </w:pPr>
      <w:hyperlink w:anchor="b429" w:history="1">
        <w:r>
          <w:rPr>
            <w:color w:val="0A3A8C"/>
            <w:u w:val="single"/>
          </w:rPr>
          <w:t xml:space="preserve">§ 327e Eintragung des Übertragungsbeschlusses</w:t>
        </w:r>
      </w:hyperlink>
    </w:p>
    <w:p>
      <w:pPr>
        <w:pStyle w:val="Übersicht"/>
        <w:ind w:left="680"/>
      </w:pPr>
      <w:hyperlink w:anchor="b430" w:history="1">
        <w:r>
          <w:rPr>
            <w:color w:val="0A3A8C"/>
            <w:u w:val="single"/>
          </w:rPr>
          <w:t xml:space="preserve">§ 327f Gerichtliche Nachprüfung der Abfindung</w:t>
        </w:r>
      </w:hyperlink>
    </w:p>
    <w:p>
      <w:pPr>
        <w:pStyle w:val="Übersicht"/>
        <w:ind w:left="340"/>
      </w:pPr>
      <w:hyperlink w:anchor="b431" w:history="1">
        <w:r>
          <w:rPr>
            <w:b/>
            <w:color w:val="0A3A8C"/>
            <w:u w:val="single"/>
          </w:rPr>
          <w:t xml:space="preserve">Fünfter Teil Wechselseitig
beteiligte Unternehmen</w:t>
        </w:r>
      </w:hyperlink>
    </w:p>
    <w:p>
      <w:pPr>
        <w:pStyle w:val="Übersicht"/>
        <w:ind w:left="680"/>
      </w:pPr>
      <w:hyperlink w:anchor="b432" w:history="1">
        <w:r>
          <w:rPr>
            <w:color w:val="0A3A8C"/>
            <w:u w:val="single"/>
          </w:rPr>
          <w:t xml:space="preserve">§ 328 Beschränkung der Rechte</w:t>
        </w:r>
      </w:hyperlink>
    </w:p>
    <w:p>
      <w:pPr>
        <w:pStyle w:val="Übersicht"/>
        <w:ind w:left="340"/>
      </w:pPr>
      <w:hyperlink w:anchor="b433" w:history="1">
        <w:r>
          <w:rPr>
            <w:b/>
            <w:color w:val="0A3A8C"/>
            <w:u w:val="single"/>
          </w:rPr>
          <w:t xml:space="preserve">Sechster Teil Rechnungslegung im Konzern</w:t>
        </w:r>
      </w:hyperlink>
    </w:p>
    <w:p>
      <w:pPr>
        <w:pStyle w:val="Übersicht"/>
        <w:ind w:left="680"/>
      </w:pPr>
      <w:hyperlink w:anchor="b434" w:history="1">
        <w:r>
          <w:rPr>
            <w:color w:val="0A3A8C"/>
            <w:u w:val="single"/>
          </w:rPr>
          <w:t xml:space="preserve">§§ 329 bis 338</w:t>
        </w:r>
      </w:hyperlink>
    </w:p>
    <w:p>
      <w:pPr>
        <w:pStyle w:val="Übersicht"/>
        <w:ind w:left="0"/>
      </w:pPr>
      <w:hyperlink w:anchor="b437" w:history="1">
        <w:r>
          <w:rPr>
            <w:b/>
            <w:color w:val="0A3A8C"/>
            <w:u w:val="single"/>
          </w:rPr>
          <w:t xml:space="preserve">Viertes Buch Sonder-, Straf- und Schlußvorschriften</w:t>
        </w:r>
      </w:hyperlink>
    </w:p>
    <w:p>
      <w:pPr>
        <w:pStyle w:val="Übersicht"/>
        <w:ind w:left="340"/>
      </w:pPr>
      <w:hyperlink w:anchor="b438" w:history="1">
        <w:r>
          <w:rPr>
            <w:b/>
            <w:color w:val="0A3A8C"/>
            <w:u w:val="single"/>
          </w:rPr>
          <w:t xml:space="preserve">Erster Teil Sondervorschriften bei Beteiligung von Gebietskörperschaften</w:t>
        </w:r>
      </w:hyperlink>
    </w:p>
    <w:p>
      <w:pPr>
        <w:pStyle w:val="Übersicht"/>
        <w:ind w:left="680"/>
      </w:pPr>
      <w:hyperlink w:anchor="b439" w:history="1">
        <w:r>
          <w:rPr>
            <w:color w:val="0A3A8C"/>
            <w:u w:val="single"/>
          </w:rPr>
          <w:t xml:space="preserve">§ 393a Besetzung von Organen bei Aktiengesellschaften mit Mehrheitsbeteiligung des Bundes</w:t>
        </w:r>
      </w:hyperlink>
    </w:p>
    <w:p>
      <w:pPr>
        <w:pStyle w:val="Übersicht"/>
        <w:ind w:left="680"/>
      </w:pPr>
      <w:hyperlink w:anchor="b440" w:history="1">
        <w:r>
          <w:rPr>
            <w:color w:val="0A3A8C"/>
            <w:u w:val="single"/>
          </w:rPr>
          <w:t xml:space="preserve">§ 394 Berichte der Aufsichtsratsmitglieder</w:t>
        </w:r>
      </w:hyperlink>
    </w:p>
    <w:p>
      <w:pPr>
        <w:pStyle w:val="Übersicht"/>
        <w:ind w:left="680"/>
      </w:pPr>
      <w:hyperlink w:anchor="b441" w:history="1">
        <w:r>
          <w:rPr>
            <w:color w:val="0A3A8C"/>
            <w:u w:val="single"/>
          </w:rPr>
          <w:t xml:space="preserve">§ 395 Verschwiegenheitspflicht</w:t>
        </w:r>
      </w:hyperlink>
    </w:p>
    <w:p>
      <w:pPr>
        <w:pStyle w:val="Übersicht"/>
        <w:ind w:left="340"/>
      </w:pPr>
      <w:hyperlink w:anchor="b442" w:history="1">
        <w:r>
          <w:rPr>
            <w:b/>
            <w:color w:val="0A3A8C"/>
            <w:u w:val="single"/>
          </w:rPr>
          <w:t xml:space="preserve">Zweiter Teil Gerichtliche Auflösung</w:t>
        </w:r>
      </w:hyperlink>
    </w:p>
    <w:p>
      <w:pPr>
        <w:pStyle w:val="Übersicht"/>
        <w:ind w:left="680"/>
      </w:pPr>
      <w:hyperlink w:anchor="b443" w:history="1">
        <w:r>
          <w:rPr>
            <w:color w:val="0A3A8C"/>
            <w:u w:val="single"/>
          </w:rPr>
          <w:t xml:space="preserve">§ 396 Voraussetzungen</w:t>
        </w:r>
      </w:hyperlink>
    </w:p>
    <w:p>
      <w:pPr>
        <w:pStyle w:val="Übersicht"/>
        <w:ind w:left="680"/>
      </w:pPr>
      <w:hyperlink w:anchor="b444" w:history="1">
        <w:r>
          <w:rPr>
            <w:color w:val="0A3A8C"/>
            <w:u w:val="single"/>
          </w:rPr>
          <w:t xml:space="preserve">§ 397 Anordnungen bei der Auflösung</w:t>
        </w:r>
      </w:hyperlink>
    </w:p>
    <w:p>
      <w:pPr>
        <w:pStyle w:val="Übersicht"/>
        <w:ind w:left="680"/>
      </w:pPr>
      <w:hyperlink w:anchor="b445" w:history="1">
        <w:r>
          <w:rPr>
            <w:color w:val="0A3A8C"/>
            <w:u w:val="single"/>
          </w:rPr>
          <w:t xml:space="preserve">§ 398 Eintragung</w:t>
        </w:r>
      </w:hyperlink>
    </w:p>
    <w:p>
      <w:pPr>
        <w:pStyle w:val="Übersicht"/>
        <w:ind w:left="340"/>
      </w:pPr>
      <w:hyperlink w:anchor="b446" w:history="1">
        <w:r>
          <w:rPr>
            <w:b/>
            <w:color w:val="0A3A8C"/>
            <w:u w:val="single"/>
          </w:rPr>
          <w:t xml:space="preserve">Dritter Teil Straf- und
Bußgeldvorschriften. Schlußvorschriften</w:t>
        </w:r>
      </w:hyperlink>
    </w:p>
    <w:p>
      <w:pPr>
        <w:pStyle w:val="Übersicht"/>
        <w:ind w:left="680"/>
      </w:pPr>
      <w:hyperlink w:anchor="b447" w:history="1">
        <w:r>
          <w:rPr>
            <w:color w:val="0A3A8C"/>
            <w:u w:val="single"/>
          </w:rPr>
          <w:t xml:space="preserve">§ 399 Falsche Angaben</w:t>
        </w:r>
      </w:hyperlink>
    </w:p>
    <w:p>
      <w:pPr>
        <w:pStyle w:val="Übersicht"/>
        <w:ind w:left="680"/>
      </w:pPr>
      <w:hyperlink w:anchor="b448" w:history="1">
        <w:r>
          <w:rPr>
            <w:color w:val="0A3A8C"/>
            <w:u w:val="single"/>
          </w:rPr>
          <w:t xml:space="preserve">§ 400 Unrichtige Darstellung</w:t>
        </w:r>
      </w:hyperlink>
    </w:p>
    <w:p>
      <w:pPr>
        <w:pStyle w:val="Übersicht"/>
        <w:ind w:left="680"/>
      </w:pPr>
      <w:hyperlink w:anchor="b449" w:history="1">
        <w:r>
          <w:rPr>
            <w:color w:val="0A3A8C"/>
            <w:u w:val="single"/>
          </w:rPr>
          <w:t xml:space="preserve">§ 401 Pflichtverletzung bei Verlust, Überschuldung oder Zahlungsunfähigkeit</w:t>
        </w:r>
      </w:hyperlink>
    </w:p>
    <w:p>
      <w:pPr>
        <w:pStyle w:val="Übersicht"/>
        <w:ind w:left="680"/>
      </w:pPr>
      <w:hyperlink w:anchor="b450" w:history="1">
        <w:r>
          <w:rPr>
            <w:color w:val="0A3A8C"/>
            <w:u w:val="single"/>
          </w:rPr>
          <w:t xml:space="preserve">§ 402 Falsche Ausstellung von Berechtigungsnachweisen</w:t>
        </w:r>
      </w:hyperlink>
    </w:p>
    <w:p>
      <w:pPr>
        <w:pStyle w:val="Übersicht"/>
        <w:ind w:left="680"/>
      </w:pPr>
      <w:hyperlink w:anchor="b451" w:history="1">
        <w:r>
          <w:rPr>
            <w:color w:val="0A3A8C"/>
            <w:u w:val="single"/>
          </w:rPr>
          <w:t xml:space="preserve">§ 403 Verletzung der Berichtspflicht</w:t>
        </w:r>
      </w:hyperlink>
    </w:p>
    <w:p>
      <w:pPr>
        <w:pStyle w:val="Übersicht"/>
        <w:ind w:left="680"/>
      </w:pPr>
      <w:hyperlink w:anchor="b452" w:history="1">
        <w:r>
          <w:rPr>
            <w:color w:val="0A3A8C"/>
            <w:u w:val="single"/>
          </w:rPr>
          <w:t xml:space="preserve">§ 404 Verletzung der Geheimhaltungspflicht</w:t>
        </w:r>
      </w:hyperlink>
    </w:p>
    <w:p>
      <w:pPr>
        <w:pStyle w:val="Übersicht"/>
        <w:ind w:left="680"/>
      </w:pPr>
      <w:hyperlink w:anchor="b453" w:history="1">
        <w:r>
          <w:rPr>
            <w:color w:val="0A3A8C"/>
            <w:u w:val="single"/>
          </w:rPr>
          <w:t xml:space="preserve">§ 404a Verletzung der Pflichten bei Abschlussprüfungen</w:t>
        </w:r>
      </w:hyperlink>
    </w:p>
    <w:p>
      <w:pPr>
        <w:pStyle w:val="Übersicht"/>
        <w:ind w:left="680"/>
      </w:pPr>
      <w:hyperlink w:anchor="b454" w:history="1">
        <w:r>
          <w:rPr>
            <w:color w:val="0A3A8C"/>
            <w:u w:val="single"/>
          </w:rPr>
          <w:t xml:space="preserve">§ 405 Ordnungswidrigkeiten</w:t>
        </w:r>
      </w:hyperlink>
    </w:p>
    <w:p>
      <w:pPr>
        <w:pStyle w:val="Übersicht"/>
        <w:ind w:left="680"/>
      </w:pPr>
      <w:hyperlink w:anchor="b455" w:history="1">
        <w:r>
          <w:rPr>
            <w:color w:val="0A3A8C"/>
            <w:u w:val="single"/>
          </w:rPr>
          <w:t xml:space="preserve">§ 406 (weggefallen)</w:t>
        </w:r>
      </w:hyperlink>
    </w:p>
    <w:p>
      <w:pPr>
        <w:pStyle w:val="Übersicht"/>
        <w:ind w:left="680"/>
      </w:pPr>
      <w:hyperlink w:anchor="b456" w:history="1">
        <w:r>
          <w:rPr>
            <w:color w:val="0A3A8C"/>
            <w:u w:val="single"/>
          </w:rPr>
          <w:t xml:space="preserve">§ 407 Zwangsgelder</w:t>
        </w:r>
      </w:hyperlink>
    </w:p>
    <w:p>
      <w:pPr>
        <w:pStyle w:val="Übersicht"/>
        <w:ind w:left="680"/>
      </w:pPr>
      <w:hyperlink w:anchor="b457" w:history="1">
        <w:r>
          <w:rPr>
            <w:color w:val="0A3A8C"/>
            <w:u w:val="single"/>
          </w:rPr>
          <w:t xml:space="preserve">§ 407a Mitteilungen an die Abschlussprüferaufsichtsstelle</w:t>
        </w:r>
      </w:hyperlink>
    </w:p>
    <w:p>
      <w:pPr>
        <w:pStyle w:val="Übersicht"/>
        <w:ind w:left="680"/>
      </w:pPr>
      <w:hyperlink w:anchor="b458" w:history="1">
        <w:r>
          <w:rPr>
            <w:color w:val="0A3A8C"/>
            <w:u w:val="single"/>
          </w:rPr>
          <w:t xml:space="preserve">§ 408 Strafbarkeit persönlich haftender Gesellschafter einer
Kommanditgesellschaft auf Aktien</w:t>
        </w:r>
      </w:hyperlink>
    </w:p>
    <w:p>
      <w:pPr>
        <w:pStyle w:val="Übersicht"/>
        <w:ind w:left="680"/>
      </w:pPr>
      <w:hyperlink w:anchor="b459" w:history="1">
        <w:r>
          <w:rPr>
            <w:color w:val="0A3A8C"/>
            <w:u w:val="single"/>
          </w:rPr>
          <w:t xml:space="preserve">§ 409 Geltung in Berlin</w:t>
        </w:r>
      </w:hyperlink>
    </w:p>
    <w:p>
      <w:pPr>
        <w:pStyle w:val="Übersicht"/>
        <w:ind w:left="680"/>
      </w:pPr>
      <w:hyperlink w:anchor="b460" w:history="1">
        <w:r>
          <w:rPr>
            <w:color w:val="0A3A8C"/>
            <w:u w:val="single"/>
          </w:rPr>
          <w:t xml:space="preserve">§ 410 Inkrafttreten</w:t>
        </w:r>
      </w:hyperlink>
    </w:p>
    <w:p>
      <w:pPr>
        <w:pStyle w:val="Heading1"/>
      </w:pPr>
      <w:bookmarkStart w:id="1" w:name="b0"/>
      <w:r>
        <w:t>Eingangsformel</w:t>
      </w:r>
      <w:bookmarkEnd w:id="1"/>
    </w:p>
    <w:p>
      <w:r>
        <w:t>Der Bundestag hat mit Zustimmung des Bundesrates das folgende Gesetz beschlossen:</w:t>
      </w:r>
    </w:p>
    <w:p>
      <w:pPr>
        <w:pStyle w:val="Heading1"/>
      </w:pPr>
      <w:bookmarkStart w:id="2" w:name="b1"/>
      <w:r>
        <w:t>Erstes Buch Aktiengesellschaft</w:t>
      </w:r>
      <w:bookmarkEnd w:id="2"/>
    </w:p>
    <w:p>
      <w:pPr>
        <w:pStyle w:val="Heading2"/>
      </w:pPr>
      <w:bookmarkStart w:id="3" w:name="b2"/>
      <w:r>
        <w:t>Erster Teil Allgemeine Vorschriften</w:t>
      </w:r>
      <w:bookmarkEnd w:id="3"/>
    </w:p>
    <w:p>
      <w:pPr>
        <w:pStyle w:val="Heading3"/>
      </w:pPr>
      <w:bookmarkStart w:id="4" w:name="b3"/>
      <w:r>
        <w:t>§ 1 Wesen der Aktiengesellschaft</w:t>
      </w:r>
      <w:r>
        <w:t xml:space="preserve"> </w:t>
      </w:r>
      <w:r>
        <w:rPr>
          <w:rStyle w:val="Suchmarke"/>
        </w:rPr>
        <w:t>#1#</w:t>
      </w:r>
      <w:bookmarkEnd w:id="4"/>
    </w:p>
    <w:p>
      <w:r>
        <w:t xml:space="preserve">(1) </w:t>
      </w:r>
      <w:r>
        <w:rPr>
          <w:rStyle w:val="Satznummer"/>
        </w:rPr>
        <w:t>1</w:t>
      </w:r>
      <w:r>
        <w:t xml:space="preserve">Die Aktiengesellschaft ist eine Gesellschaft mit eigener Rechtspersönlichkeit. </w:t>
      </w:r>
      <w:r>
        <w:rPr>
          <w:rStyle w:val="Satznummer"/>
        </w:rPr>
        <w:t>2</w:t>
      </w:r>
      <w:r>
        <w:t>Für die Verbindlichkeiten der Gesellschaft haftet den Gläubigern nur das Gesellschaftsvermögen.</w:t>
      </w:r>
    </w:p>
    <w:p>
      <w:r>
        <w:t>(2) Die Aktiengesellschaft hat ein in Aktien zerlegtes Grundkapital.</w:t>
      </w:r>
    </w:p>
    <w:p>
      <w:pPr>
        <w:pStyle w:val="Heading3"/>
      </w:pPr>
      <w:bookmarkStart w:id="5" w:name="b4"/>
      <w:r>
        <w:t>§ 2 Gründerzahl</w:t>
      </w:r>
      <w:r>
        <w:t xml:space="preserve"> </w:t>
      </w:r>
      <w:r>
        <w:rPr>
          <w:rStyle w:val="Suchmarke"/>
        </w:rPr>
        <w:t>#2#</w:t>
      </w:r>
      <w:bookmarkEnd w:id="5"/>
    </w:p>
    <w:p>
      <w:r>
        <w:t>An der Feststellung des Gesellschaftsvertrags (der Satzung) müssen sich eine oder mehrere Personen beteiligen, welche die Aktien gegen Einlagen übernehmen.</w:t>
      </w:r>
    </w:p>
    <w:p>
      <w:pPr>
        <w:pStyle w:val="Heading3"/>
      </w:pPr>
      <w:bookmarkStart w:id="6" w:name="b5"/>
      <w:r>
        <w:t>§ 3 Formkaufmann. Börsennotierung</w:t>
      </w:r>
      <w:r>
        <w:t xml:space="preserve"> </w:t>
      </w:r>
      <w:r>
        <w:rPr>
          <w:rStyle w:val="Suchmarke"/>
        </w:rPr>
        <w:t>#3#</w:t>
      </w:r>
      <w:bookmarkEnd w:id="6"/>
    </w:p>
    <w:p>
      <w:r>
        <w:t>(1) Die Aktiengesellschaft gilt als Handelsgesellschaft, auch wenn der Gegenstand des Unternehmens nicht im Betrieb eines Handelsgewerbes besteht.</w:t>
      </w:r>
    </w:p>
    <w:p>
      <w:r>
        <w:t>(2) Börsennotiert im Sinne dieses Gesetzes sind Gesellschaften, deren Aktien zu einem Markt zugelassen sind, der von staatlich anerkannten Stellen geregelt und überwacht wird, regelmäßig stattfindet und für das Publikum mittelbar oder unmittelbar zugänglich ist.</w:t>
      </w:r>
    </w:p>
    <w:p>
      <w:pPr>
        <w:pStyle w:val="Heading3"/>
      </w:pPr>
      <w:bookmarkStart w:id="7" w:name="b6"/>
      <w:r>
        <w:t>§ 4 Firma</w:t>
      </w:r>
      <w:r>
        <w:t xml:space="preserve"> </w:t>
      </w:r>
      <w:r>
        <w:rPr>
          <w:rStyle w:val="Suchmarke"/>
        </w:rPr>
        <w:t>#4#</w:t>
      </w:r>
      <w:bookmarkEnd w:id="7"/>
    </w:p>
    <w:p>
      <w:r>
        <w:t>Die Firma der Aktiengesellschaft muß, auch wenn sie nach § 22 des Handelsgesetzbuchs oder nach anderen gesetzlichen Vorschriften fortgeführt wird, die Bezeichnung "Aktiengesellschaft" oder eine allgemein verständliche Abkürzung dieser Bezeichnung enthalten.</w:t>
      </w:r>
    </w:p>
    <w:p>
      <w:pPr>
        <w:pStyle w:val="Heading3"/>
      </w:pPr>
      <w:bookmarkStart w:id="8" w:name="b7"/>
      <w:r>
        <w:t>§ 5 Sitz</w:t>
      </w:r>
      <w:r>
        <w:t xml:space="preserve"> </w:t>
      </w:r>
      <w:r>
        <w:rPr>
          <w:rStyle w:val="Suchmarke"/>
        </w:rPr>
        <w:t>#5#</w:t>
      </w:r>
      <w:bookmarkEnd w:id="8"/>
    </w:p>
    <w:p>
      <w:r>
        <w:t>Sitz der Gesellschaft ist der Ort im Inland, den die Satzung bestimmt.</w:t>
      </w:r>
    </w:p>
    <w:p>
      <w:pPr>
        <w:pStyle w:val="Heading3"/>
      </w:pPr>
      <w:bookmarkStart w:id="9" w:name="b8"/>
      <w:r>
        <w:t>§ 6 Grundkapital</w:t>
      </w:r>
      <w:r>
        <w:t xml:space="preserve"> </w:t>
      </w:r>
      <w:r>
        <w:rPr>
          <w:rStyle w:val="Suchmarke"/>
        </w:rPr>
        <w:t>#6#</w:t>
      </w:r>
      <w:bookmarkEnd w:id="9"/>
    </w:p>
    <w:p>
      <w:r>
        <w:t>Das Grundkapital muß auf einen Nennbetrag in Euro lauten.</w:t>
      </w:r>
    </w:p>
    <w:p>
      <w:pPr>
        <w:pStyle w:val="Heading3"/>
      </w:pPr>
      <w:bookmarkStart w:id="10" w:name="b9"/>
      <w:r>
        <w:t>§ 7 Mindestnennbetrag des Grundkapitals</w:t>
      </w:r>
      <w:r>
        <w:t xml:space="preserve"> </w:t>
      </w:r>
      <w:r>
        <w:rPr>
          <w:rStyle w:val="Suchmarke"/>
        </w:rPr>
        <w:t>#7#</w:t>
      </w:r>
      <w:bookmarkEnd w:id="10"/>
    </w:p>
    <w:p>
      <w:r>
        <w:t>Der Mindestnennbetrag des Grundkapitals ist fünfzigtausend Euro.</w:t>
      </w:r>
    </w:p>
    <w:p>
      <w:pPr>
        <w:pStyle w:val="Heading3"/>
      </w:pPr>
      <w:bookmarkStart w:id="11" w:name="b10"/>
      <w:r>
        <w:t>§ 8 Form und Mindestbeträge der Aktien</w:t>
      </w:r>
      <w:r>
        <w:t xml:space="preserve"> </w:t>
      </w:r>
      <w:r>
        <w:rPr>
          <w:rStyle w:val="Suchmarke"/>
        </w:rPr>
        <w:t>#8#</w:t>
      </w:r>
      <w:bookmarkEnd w:id="11"/>
    </w:p>
    <w:p>
      <w:r>
        <w:t>(1) Die Aktien können entweder als Nennbetragsaktien oder als Stückaktien begründet werden.</w:t>
      </w:r>
    </w:p>
    <w:p>
      <w:r>
        <w:t xml:space="preserve">(2) </w:t>
      </w:r>
      <w:r>
        <w:rPr>
          <w:rStyle w:val="Satznummer"/>
        </w:rPr>
        <w:t>1</w:t>
      </w:r>
      <w:r>
        <w:t xml:space="preserve">Nennbetragsaktien müssen auf mindestens einen Euro lauten. </w:t>
      </w:r>
      <w:r>
        <w:rPr>
          <w:rStyle w:val="Satznummer"/>
        </w:rPr>
        <w:t>2</w:t>
      </w:r>
      <w:r>
        <w:t xml:space="preserve">Aktien über einen geringeren Nennbetrag sind nichtig. </w:t>
      </w:r>
      <w:r>
        <w:rPr>
          <w:rStyle w:val="Satznummer"/>
        </w:rPr>
        <w:t>3</w:t>
      </w:r>
      <w:r>
        <w:t xml:space="preserve">Für den Schaden aus der Ausgabe sind die Ausgeber den Inhabern als Gesamtschuldner verantwortlich. </w:t>
      </w:r>
      <w:r>
        <w:rPr>
          <w:rStyle w:val="Satznummer"/>
        </w:rPr>
        <w:t>4</w:t>
      </w:r>
      <w:r>
        <w:t>Höhere Aktiennennbeträge müssen auf volle Euro lauten.</w:t>
      </w:r>
    </w:p>
    <w:p>
      <w:r>
        <w:t xml:space="preserve">(3) </w:t>
      </w:r>
      <w:r>
        <w:rPr>
          <w:rStyle w:val="Satznummer"/>
        </w:rPr>
        <w:t>1</w:t>
      </w:r>
      <w:r>
        <w:t xml:space="preserve">Stückaktien lauten auf keinen Nennbetrag. </w:t>
      </w:r>
      <w:r>
        <w:rPr>
          <w:rStyle w:val="Satznummer"/>
        </w:rPr>
        <w:t>2</w:t>
      </w:r>
      <w:r>
        <w:t xml:space="preserve">Die Stückaktien einer Gesellschaft sind am Grundkapital in gleichem Umfang beteiligt. </w:t>
      </w:r>
      <w:r>
        <w:rPr>
          <w:rStyle w:val="Satznummer"/>
        </w:rPr>
        <w:t>3</w:t>
      </w:r>
      <w:r>
        <w:t xml:space="preserve">Der auf die einzelne Aktie entfallende anteilige Betrag des Grundkapitals darf einen Euro nicht unterschreiten. </w:t>
      </w:r>
      <w:r>
        <w:rPr>
          <w:rStyle w:val="Satznummer"/>
        </w:rPr>
        <w:t>4</w:t>
      </w:r>
      <w:r>
        <w:t>Absatz 2 Satz 2 und 3 findet entsprechende Anwendung.</w:t>
      </w:r>
    </w:p>
    <w:p>
      <w:r>
        <w:t>(4) Der Anteil am Grundkapital bestimmt sich bei Nennbetragsaktien nach dem Verhältnis ihres Nennbetrags zum Grundkapital, bei Stückaktien nach der Zahl der Aktien.</w:t>
      </w:r>
    </w:p>
    <w:p>
      <w:r>
        <w:t>(5) Die Aktien sind unteilbar.</w:t>
      </w:r>
    </w:p>
    <w:p>
      <w:r>
        <w:t>(6) Diese Vorschriften gelten auch für Anteilscheine, die den Aktionären vor der Ausgabe der Aktien erteilt werden (Zwischenscheine).</w:t>
      </w:r>
    </w:p>
    <w:p>
      <w:r>
        <w:t xml:space="preserve">(7) </w:t>
      </w:r>
      <w:r>
        <w:rPr>
          <w:rStyle w:val="Satznummer"/>
        </w:rPr>
        <w:t>1</w:t>
      </w:r>
      <w:r>
        <w:t xml:space="preserve">Die Satzung kann vorsehen, dass Nennbetragsaktien einen geringeren Nennwert haben dürfen. </w:t>
      </w:r>
      <w:r>
        <w:rPr>
          <w:rStyle w:val="Satznummer"/>
        </w:rPr>
        <w:t>2</w:t>
      </w:r>
      <w:r>
        <w:t xml:space="preserve">In diesem Fall müssen sie auf mindestens einen Eurocent lauten. </w:t>
      </w:r>
      <w:r>
        <w:rPr>
          <w:rStyle w:val="Satznummer"/>
        </w:rPr>
        <w:t>3</w:t>
      </w:r>
      <w:r>
        <w:t xml:space="preserve">Für Stückaktien kann die Satzung vorsehen, dass der auf die einzelne Aktie entfallende anteilige Betrag des Grundkapitals einen Eurocent betragen darf. </w:t>
      </w:r>
      <w:r>
        <w:rPr>
          <w:rStyle w:val="Satznummer"/>
        </w:rPr>
        <w:t>4</w:t>
      </w:r>
      <w:r>
        <w:t>Im Übrigen findet Absatz 2 Satz 2 und 3 entsprechende Anwendung.</w:t>
      </w:r>
    </w:p>
    <w:p>
      <w:pPr>
        <w:pStyle w:val="Heading3"/>
      </w:pPr>
      <w:bookmarkStart w:id="12" w:name="b11"/>
      <w:r>
        <w:t>§ 9 Ausgabebetrag der Aktien</w:t>
      </w:r>
      <w:r>
        <w:t xml:space="preserve"> </w:t>
      </w:r>
      <w:r>
        <w:rPr>
          <w:rStyle w:val="Suchmarke"/>
        </w:rPr>
        <w:t>#9#</w:t>
      </w:r>
      <w:bookmarkEnd w:id="12"/>
    </w:p>
    <w:p>
      <w:r>
        <w:t>(1) Für einen geringeren Betrag als den Nennbetrag oder den auf die einzelne Stückaktie entfallenden anteiligen Betrag des Grundkapitals dürfen Aktien nicht ausgegeben werden (geringster Ausgabebetrag).</w:t>
      </w:r>
    </w:p>
    <w:p>
      <w:r>
        <w:t>(2) Für einen höheren Betrag ist die Ausgabe zulässig.</w:t>
      </w:r>
    </w:p>
    <w:p>
      <w:pPr>
        <w:pStyle w:val="Heading3"/>
      </w:pPr>
      <w:bookmarkStart w:id="13" w:name="b12"/>
      <w:r>
        <w:t>§ 10 Aktien und Zwischenscheine</w:t>
      </w:r>
      <w:r>
        <w:t xml:space="preserve"> </w:t>
      </w:r>
      <w:r>
        <w:rPr>
          <w:rStyle w:val="Suchmarke"/>
        </w:rPr>
        <w:t>#10#</w:t>
      </w:r>
      <w:bookmarkEnd w:id="13"/>
    </w:p>
    <w:p>
      <w:r>
        <w:t xml:space="preserve">(1) </w:t>
      </w:r>
      <w:r>
        <w:rPr>
          <w:rStyle w:val="Satznummer"/>
        </w:rPr>
        <w:t>1</w:t>
      </w:r>
      <w:r>
        <w:t xml:space="preserve">Die Aktien lauten auf Namen. </w:t>
      </w:r>
      <w:r>
        <w:rPr>
          <w:rStyle w:val="Satznummer"/>
        </w:rPr>
        <w:t>2</w:t>
      </w:r>
      <w:r>
        <w:t>Sie können auf den Inhaber lauten, wenn</w:t>
      </w:r>
    </w:p>
    <w:p>
      <w:pPr>
        <w:tabs>
          <w:tab w:pos="567" w:val="left"/>
        </w:tabs>
        <w:ind w:left="567" w:hanging="567"/>
      </w:pPr>
      <w:r>
        <w:t>1.</w:t>
      </w:r>
      <w:r>
        <w:tab/>
      </w:r>
      <w:r>
        <w:t>die Gesellschaft börsennotiert ist oder</w:t>
      </w:r>
    </w:p>
    <w:p>
      <w:pPr>
        <w:tabs>
          <w:tab w:pos="567" w:val="left"/>
        </w:tabs>
        <w:ind w:left="567" w:hanging="567"/>
      </w:pPr>
      <w:r>
        <w:t>2.</w:t>
      </w:r>
      <w:r>
        <w:tab/>
      </w:r>
      <w:r>
        <w:t>der Anspruch auf Einzelverbriefung ausgeschlossen ist und die Sammelurkunde bei einer der folgenden Stellen hinterlegt wird:</w:t>
      </w:r>
    </w:p>
    <w:p>
      <w:pPr>
        <w:tabs>
          <w:tab w:pos="1134" w:val="left"/>
        </w:tabs>
        <w:ind w:left="1134" w:hanging="567"/>
      </w:pPr>
      <w:r>
        <w:t>a)</w:t>
      </w:r>
      <w:r>
        <w:tab/>
      </w:r>
      <w:r>
        <w:t>einer Wertpapiersammelbank im Sinne des § 1 Absatz 3 Satz 1 des Depotgesetzes,</w:t>
      </w:r>
    </w:p>
    <w:p>
      <w:pPr>
        <w:tabs>
          <w:tab w:pos="1134" w:val="left"/>
        </w:tabs>
        <w:ind w:left="1134" w:hanging="567"/>
      </w:pPr>
      <w:r>
        <w:t>b)</w:t>
      </w:r>
      <w:r>
        <w:tab/>
      </w:r>
      <w:r>
        <w:t>einem zugelassenen Zentralverwahrer oder einem anerkannten Drittland-Zentralverwahrer gemäß der Verordnung (EU) Nr. 909/2014 des Europäischen Parlaments und des Rates vom 23. Juli 2014 zur Verbesserung der Wertpapierlieferungen und -abrechnungen in der Europäischen Union und über Zentralverwahrer sowie zur Änderung der Richtlinien 98/26/EG und 2014/65/EU und der Verordnung (EU) Nr. 236/2012 (ABl. L 257 vom 28.8.2014, S. 1) oder</w:t>
      </w:r>
    </w:p>
    <w:p>
      <w:pPr>
        <w:tabs>
          <w:tab w:pos="1134" w:val="left"/>
        </w:tabs>
        <w:ind w:left="1134" w:hanging="567"/>
      </w:pPr>
      <w:r>
        <w:t>c)</w:t>
      </w:r>
      <w:r>
        <w:tab/>
      </w:r>
      <w:r>
        <w:t>einem sonstigen ausländischen Verwahrer, der die Voraussetzungen des § 5 Absatz 4 Satz 1 des Depotgesetzes erfüllt, oder</w:t>
      </w:r>
    </w:p>
    <w:p>
      <w:pPr>
        <w:tabs>
          <w:tab w:pos="567" w:val="left"/>
        </w:tabs>
        <w:ind w:left="567" w:hanging="567"/>
      </w:pPr>
      <w:r>
        <w:t>3.</w:t>
      </w:r>
      <w:r>
        <w:tab/>
      </w:r>
      <w:r>
        <w:t>die Verbriefung ausgeschlossen ist und die Aktie in einem zentralen Wertpapierregister gemäß § 12 des Gesetzes über elektronische Wertpapiere eingetragen wird.</w:t>
      </w:r>
    </w:p>
    <w:p>
      <w:r>
        <w:rPr>
          <w:rStyle w:val="Satznummer"/>
        </w:rPr>
        <w:t>3</w:t>
      </w:r>
      <w:r>
        <w:t xml:space="preserve">Solange im Fall des Satzes 2 Nummer 2 die Sammelurkunde nicht hinterlegt ist, ist </w:t>
      </w:r>
      <w:hyperlink w:anchor="b74" w:history="1">
        <w:r>
          <w:rPr>
            <w:color w:val="0A3A8C"/>
            <w:u w:val="single"/>
          </w:rPr>
          <w:t xml:space="preserve">§ 67</w:t>
        </w:r>
      </w:hyperlink>
      <w:r>
        <w:t xml:space="preserve"> entsprechend anzuwenden.</w:t>
      </w:r>
    </w:p>
    <w:p>
      <w:r>
        <w:t xml:space="preserve">(2) </w:t>
      </w:r>
      <w:r>
        <w:rPr>
          <w:rStyle w:val="Satznummer"/>
        </w:rPr>
        <w:t>1</w:t>
      </w:r>
      <w:r>
        <w:t xml:space="preserve">Die Aktien müssen auf Namen lauten, wenn sie vor der vollen Leistung des Ausgabebetrags ausgegeben werden. </w:t>
      </w:r>
      <w:r>
        <w:rPr>
          <w:rStyle w:val="Satznummer"/>
        </w:rPr>
        <w:t>2</w:t>
      </w:r>
      <w:r>
        <w:t>Der Betrag der Teilleistungen ist in der Aktie anzugeben.</w:t>
      </w:r>
    </w:p>
    <w:p>
      <w:r>
        <w:t>(3) Zwischenscheine müssen auf Namen lauten.</w:t>
      </w:r>
    </w:p>
    <w:p>
      <w:r>
        <w:t xml:space="preserve">(4) </w:t>
      </w:r>
      <w:r>
        <w:rPr>
          <w:rStyle w:val="Satznummer"/>
        </w:rPr>
        <w:t>1</w:t>
      </w:r>
      <w:r>
        <w:t xml:space="preserve">Zwischenscheine auf den Inhaber sind nichtig. </w:t>
      </w:r>
      <w:r>
        <w:rPr>
          <w:rStyle w:val="Satznummer"/>
        </w:rPr>
        <w:t>2</w:t>
      </w:r>
      <w:r>
        <w:t>Für den Schaden aus der Ausgabe sind die Ausgeber den Inhabern als Gesamtschuldner verantwortlich.</w:t>
      </w:r>
    </w:p>
    <w:p>
      <w:r>
        <w:t>(5) In der Satzung kann der Anspruch des Aktionärs auf Verbriefung seines Anteils ausgeschlossen oder eingeschränkt werden.</w:t>
      </w:r>
    </w:p>
    <w:p>
      <w:r>
        <w:t xml:space="preserve">(6) </w:t>
      </w:r>
      <w:r>
        <w:rPr>
          <w:rStyle w:val="Satznummer"/>
        </w:rPr>
        <w:t>1</w:t>
      </w:r>
      <w:r>
        <w:t xml:space="preserve">In der Satzung ist die Verbriefung für solche Aktien auszuschließen, die als elektronische Aktien in einem elektronischen Wertpapierregister eingetragen werden. </w:t>
      </w:r>
      <w:r>
        <w:rPr>
          <w:rStyle w:val="Satznummer"/>
        </w:rPr>
        <w:t>2</w:t>
      </w:r>
      <w:r>
        <w:t>Die Eintragung in ein Kryptowertpapierregister gemäß § 16 des Gesetzes über elektronische Wertpapiere ist nur zulässig, wenn dies in der Satzung ausdrücklich zugelassen ist.</w:t>
      </w:r>
    </w:p>
    <w:p>
      <w:pPr>
        <w:pStyle w:val="Heading3"/>
      </w:pPr>
      <w:bookmarkStart w:id="14" w:name="b13"/>
      <w:r>
        <w:t>§ 11 Aktien besonderer Gattung</w:t>
      </w:r>
      <w:r>
        <w:t xml:space="preserve"> </w:t>
      </w:r>
      <w:r>
        <w:rPr>
          <w:rStyle w:val="Suchmarke"/>
        </w:rPr>
        <w:t>#11#</w:t>
      </w:r>
      <w:bookmarkEnd w:id="14"/>
    </w:p>
    <w:p>
      <w:r>
        <w:rPr>
          <w:rStyle w:val="Satznummer"/>
        </w:rPr>
        <w:t>1</w:t>
      </w:r>
      <w:r>
        <w:t xml:space="preserve">Die Aktien können verschiedene Rechte gewähren, namentlich bei der Verteilung des Gewinns und des Gesellschaftsvermögens. </w:t>
      </w:r>
      <w:r>
        <w:rPr>
          <w:rStyle w:val="Satznummer"/>
        </w:rPr>
        <w:t>2</w:t>
      </w:r>
      <w:r>
        <w:t>Aktien mit gleichen Rechten bilden eine Gattung.</w:t>
      </w:r>
    </w:p>
    <w:p>
      <w:pPr>
        <w:pStyle w:val="Heading3"/>
      </w:pPr>
      <w:bookmarkStart w:id="15" w:name="b14"/>
      <w:r>
        <w:t>§ 12 Stimmrecht</w:t>
      </w:r>
      <w:r>
        <w:t xml:space="preserve"> </w:t>
      </w:r>
      <w:r>
        <w:rPr>
          <w:rStyle w:val="Suchmarke"/>
        </w:rPr>
        <w:t>#12#</w:t>
      </w:r>
      <w:bookmarkEnd w:id="15"/>
    </w:p>
    <w:p>
      <w:r>
        <w:rPr>
          <w:rStyle w:val="Satznummer"/>
        </w:rPr>
        <w:t>1</w:t>
      </w:r>
      <w:r>
        <w:t xml:space="preserve">Jede Aktie gewährt das Stimmrecht. </w:t>
      </w:r>
      <w:r>
        <w:rPr>
          <w:rStyle w:val="Satznummer"/>
        </w:rPr>
        <w:t>2</w:t>
      </w:r>
      <w:r>
        <w:t>Nach den Vorschriften dieses Gesetzes können Mehrstimmrechtsaktien sowie Vorzugsaktien als Aktien ohne Stimmrecht ausgegeben werden.</w:t>
      </w:r>
    </w:p>
    <w:p>
      <w:pPr>
        <w:pStyle w:val="Heading3"/>
      </w:pPr>
      <w:bookmarkStart w:id="16" w:name="b15"/>
      <w:r>
        <w:t>§ 13 Unterzeichnung der Aktien</w:t>
      </w:r>
      <w:r>
        <w:t xml:space="preserve"> </w:t>
      </w:r>
      <w:r>
        <w:rPr>
          <w:rStyle w:val="Suchmarke"/>
        </w:rPr>
        <w:t>#13#</w:t>
      </w:r>
      <w:bookmarkEnd w:id="16"/>
    </w:p>
    <w:p>
      <w:r>
        <w:rPr>
          <w:rStyle w:val="Satznummer"/>
        </w:rPr>
        <w:t>1</w:t>
      </w:r>
      <w:r>
        <w:t xml:space="preserve">Zur Unterzeichnung von Aktien und Zwischenscheinen genügt eine vervielfältigte Unterschrift. </w:t>
      </w:r>
      <w:r>
        <w:rPr>
          <w:rStyle w:val="Satznummer"/>
        </w:rPr>
        <w:t>2</w:t>
      </w:r>
      <w:r>
        <w:t xml:space="preserve">Die Gültigkeit der Unterzeichnung kann von der Beachtung einer besonderen Form abhängig gemacht werden. </w:t>
      </w:r>
      <w:r>
        <w:rPr>
          <w:rStyle w:val="Satznummer"/>
        </w:rPr>
        <w:t>3</w:t>
      </w:r>
      <w:r>
        <w:t xml:space="preserve">Die Formvorschrift muß in der Urkunde enthalten sein. </w:t>
      </w:r>
      <w:r>
        <w:rPr>
          <w:rStyle w:val="Satznummer"/>
        </w:rPr>
        <w:t>4</w:t>
      </w:r>
      <w:r>
        <w:t>Bei elektronischen Aktien findet keine Unterzeichnung statt.</w:t>
      </w:r>
    </w:p>
    <w:p>
      <w:pPr>
        <w:pStyle w:val="Heading3"/>
      </w:pPr>
      <w:bookmarkStart w:id="17" w:name="b16"/>
      <w:r>
        <w:t>§ 14 Zuständigkeit</w:t>
      </w:r>
      <w:r>
        <w:t xml:space="preserve"> </w:t>
      </w:r>
      <w:r>
        <w:rPr>
          <w:rStyle w:val="Suchmarke"/>
        </w:rPr>
        <w:t>#14#</w:t>
      </w:r>
      <w:bookmarkEnd w:id="17"/>
    </w:p>
    <w:p>
      <w:r>
        <w:t>Gericht im Sinne dieses Gesetzes ist, wenn nichts anderes bestimmt ist, das Gericht des Sitzes der Gesellschaft.</w:t>
      </w:r>
    </w:p>
    <w:p>
      <w:pPr>
        <w:pStyle w:val="Heading3"/>
      </w:pPr>
      <w:bookmarkStart w:id="18" w:name="b17"/>
      <w:r>
        <w:t>§ 15 Verbundene Unternehmen</w:t>
      </w:r>
      <w:r>
        <w:t xml:space="preserve"> </w:t>
      </w:r>
      <w:r>
        <w:rPr>
          <w:rStyle w:val="Suchmarke"/>
        </w:rPr>
        <w:t>#15#</w:t>
      </w:r>
      <w:bookmarkEnd w:id="18"/>
    </w:p>
    <w:p>
      <w:r>
        <w:t>Verbundene Unternehmen sind rechtlich selbständige Unternehmen, die im Verhältnis zueinander in Mehrheitsbesitz stehende Unternehmen und mit Mehrheit beteiligte Unternehmen (</w:t>
      </w:r>
      <w:hyperlink w:anchor="b18" w:history="1">
        <w:r>
          <w:rPr>
            <w:color w:val="0A3A8C"/>
            <w:u w:val="single"/>
          </w:rPr>
          <w:t xml:space="preserve">§ 16</w:t>
        </w:r>
      </w:hyperlink>
      <w:r>
        <w:t>), abhängige und herrschende Unternehmen (</w:t>
      </w:r>
      <w:hyperlink w:anchor="b19" w:history="1">
        <w:r>
          <w:rPr>
            <w:color w:val="0A3A8C"/>
            <w:u w:val="single"/>
          </w:rPr>
          <w:t xml:space="preserve">§ 17</w:t>
        </w:r>
      </w:hyperlink>
      <w:r>
        <w:t>), Konzernunternehmen (</w:t>
      </w:r>
      <w:hyperlink w:anchor="b20" w:history="1">
        <w:r>
          <w:rPr>
            <w:color w:val="0A3A8C"/>
            <w:u w:val="single"/>
          </w:rPr>
          <w:t xml:space="preserve">§ 18</w:t>
        </w:r>
      </w:hyperlink>
      <w:r>
        <w:t>), wechselseitig beteiligte Unternehmen (</w:t>
      </w:r>
      <w:hyperlink w:anchor="b21" w:history="1">
        <w:r>
          <w:rPr>
            <w:color w:val="0A3A8C"/>
            <w:u w:val="single"/>
          </w:rPr>
          <w:t xml:space="preserve">§ 19</w:t>
        </w:r>
      </w:hyperlink>
      <w:r>
        <w:t>) oder Vertragsteile eines Unternehmensvertrags (</w:t>
      </w:r>
      <w:hyperlink w:anchor="b371" w:history="1">
        <w:r>
          <w:rPr>
            <w:color w:val="0A3A8C"/>
            <w:u w:val="single"/>
          </w:rPr>
          <w:t xml:space="preserve">§§ 291</w:t>
        </w:r>
      </w:hyperlink>
      <w:r>
        <w:t xml:space="preserve">, </w:t>
      </w:r>
      <w:hyperlink w:anchor="b372" w:history="1">
        <w:r>
          <w:rPr>
            <w:color w:val="0A3A8C"/>
            <w:u w:val="single"/>
          </w:rPr>
          <w:t xml:space="preserve">292</w:t>
        </w:r>
      </w:hyperlink>
      <w:r>
        <w:t>) sind.</w:t>
      </w:r>
    </w:p>
    <w:p>
      <w:pPr>
        <w:pStyle w:val="Heading3"/>
      </w:pPr>
      <w:bookmarkStart w:id="19" w:name="b18"/>
      <w:r>
        <w:t>§ 16 In Mehrheitsbesitz stehende Unternehmen und mit Mehrheit beteiligte Unternehmen</w:t>
      </w:r>
      <w:r>
        <w:t xml:space="preserve"> </w:t>
      </w:r>
      <w:r>
        <w:rPr>
          <w:rStyle w:val="Suchmarke"/>
        </w:rPr>
        <w:t>#16#</w:t>
      </w:r>
      <w:bookmarkEnd w:id="19"/>
    </w:p>
    <w:p>
      <w:r>
        <w:t>(1) Gehört die Mehrheit der Anteile eines rechtlich selbständigen Unternehmens einem anderen Unternehmen oder steht einem anderen Unternehmen die Mehrheit der Stimmrechte zu (Mehrheitsbeteiligung), so ist das Unternehmen ein in Mehrheitsbesitz stehendes Unternehmen, das andere Unternehmen ein an ihm mit Mehrheit beteiligtes Unternehmen.</w:t>
      </w:r>
    </w:p>
    <w:p>
      <w:r>
        <w:t xml:space="preserve">(2) </w:t>
      </w:r>
      <w:r>
        <w:rPr>
          <w:rStyle w:val="Satznummer"/>
        </w:rPr>
        <w:t>1</w:t>
      </w:r>
      <w:r>
        <w:t xml:space="preserve">Welcher Teil der Anteile einem Unternehmen gehört, bestimmt sich bei Kapitalgesellschaften nach dem Verhältnis des Gesamtnennbetrags der ihm gehörenden Anteile zum Nennkapital, bei Gesellschaften mit Stückaktien nach der Zahl der Aktien. </w:t>
      </w:r>
      <w:r>
        <w:rPr>
          <w:rStyle w:val="Satznummer"/>
        </w:rPr>
        <w:t>2</w:t>
      </w:r>
      <w:r>
        <w:t xml:space="preserve">Eigene Anteile sind bei Kapitalgesellschaften vom Nennkapital, bei Gesellschaften mit Stückaktien von der Zahl der Aktien abzusetzen. </w:t>
      </w:r>
      <w:r>
        <w:rPr>
          <w:rStyle w:val="Satznummer"/>
        </w:rPr>
        <w:t>3</w:t>
      </w:r>
      <w:r>
        <w:t>Eigenen Anteilen des Unternehmens stehen Anteile gleich, die einem anderen für Rechnung des Unternehmens gehören.</w:t>
      </w:r>
    </w:p>
    <w:p>
      <w:r>
        <w:t xml:space="preserve">(3) </w:t>
      </w:r>
      <w:r>
        <w:rPr>
          <w:rStyle w:val="Satznummer"/>
        </w:rPr>
        <w:t>1</w:t>
      </w:r>
      <w:r>
        <w:t xml:space="preserve">Welcher Teil der Stimmrechte einem Unternehmen zusteht, bestimmt sich nach dem Verhältnis der Zahl der Stimmrechte, die es aus den ihm gehörenden Anteilen ausüben kann, zur Gesamtzahl aller Stimmrechte. </w:t>
      </w:r>
      <w:r>
        <w:rPr>
          <w:rStyle w:val="Satznummer"/>
        </w:rPr>
        <w:t>2</w:t>
      </w:r>
      <w:r>
        <w:t>Von der Gesamtzahl aller Stimmrechte sind die Stimmrechte aus eigenen Anteilen sowie aus Anteilen, die nach Absatz 2 Satz 3 eigenen Anteilen gleichstehen, abzusetzen.</w:t>
      </w:r>
    </w:p>
    <w:p>
      <w:r>
        <w:t>(4) Als Anteile, die einem Unternehmen gehören, gelten auch die Anteile, die einem von ihm abhängigen Unternehmen oder einem anderen für Rechnung des Unternehmens oder eines von diesem abhängigen Unternehmens gehören und, wenn der Inhaber des Unternehmens ein Einzelkaufmann ist, auch die Anteile, die sonstiges Vermögen des Inhabers sind.</w:t>
      </w:r>
    </w:p>
    <w:p>
      <w:pPr>
        <w:pStyle w:val="Heading3"/>
      </w:pPr>
      <w:bookmarkStart w:id="20" w:name="b19"/>
      <w:r>
        <w:t>§ 17 Abhängige und herrschende Unternehmen</w:t>
      </w:r>
      <w:r>
        <w:t xml:space="preserve"> </w:t>
      </w:r>
      <w:r>
        <w:rPr>
          <w:rStyle w:val="Suchmarke"/>
        </w:rPr>
        <w:t>#17#</w:t>
      </w:r>
      <w:bookmarkEnd w:id="20"/>
    </w:p>
    <w:p>
      <w:r>
        <w:t>(1) Abhängige Unternehmen sind rechtlich selbständige Unternehmen, auf die ein anderes Unternehmen (herrschendes Unternehmen) unmittelbar oder mittelbar einen beherrschenden Einfluß ausüben kann.</w:t>
      </w:r>
    </w:p>
    <w:p>
      <w:r>
        <w:t>(2) Von einem in Mehrheitsbesitz stehenden Unternehmen wird vermutet, daß es von dem an ihm mit Mehrheit beteiligten Unternehmen abhängig ist.</w:t>
      </w:r>
    </w:p>
    <w:p>
      <w:pPr>
        <w:pStyle w:val="Heading3"/>
      </w:pPr>
      <w:bookmarkStart w:id="21" w:name="b20"/>
      <w:r>
        <w:t>§ 18 Konzern und Konzernunternehmen</w:t>
      </w:r>
      <w:r>
        <w:t xml:space="preserve"> </w:t>
      </w:r>
      <w:r>
        <w:rPr>
          <w:rStyle w:val="Suchmarke"/>
        </w:rPr>
        <w:t>#18#</w:t>
      </w:r>
      <w:bookmarkEnd w:id="21"/>
    </w:p>
    <w:p>
      <w:r>
        <w:t xml:space="preserve">(1) </w:t>
      </w:r>
      <w:r>
        <w:rPr>
          <w:rStyle w:val="Satznummer"/>
        </w:rPr>
        <w:t>1</w:t>
      </w:r>
      <w:r>
        <w:t xml:space="preserve">Sind ein herrschendes und ein oder mehrere abhängige Unternehmen unter der einheitlichen Leitung des herrschenden Unternehmens zusammengefaßt, so bilden sie einen Konzern; die einzelnen Unternehmen sind Konzernunternehmen. </w:t>
      </w:r>
      <w:r>
        <w:rPr>
          <w:rStyle w:val="Satznummer"/>
        </w:rPr>
        <w:t>2</w:t>
      </w:r>
      <w:r>
        <w:t>Unternehmen, zwischen denen ein Beherrschungsvertrag (</w:t>
      </w:r>
      <w:hyperlink w:anchor="b371" w:history="1">
        <w:r>
          <w:rPr>
            <w:color w:val="0A3A8C"/>
            <w:u w:val="single"/>
          </w:rPr>
          <w:t xml:space="preserve">§ 291</w:t>
        </w:r>
      </w:hyperlink>
      <w:r>
        <w:t>) besteht oder von denen das eine in das andere eingegliedert ist (</w:t>
      </w:r>
      <w:hyperlink w:anchor="b413" w:history="1">
        <w:r>
          <w:rPr>
            <w:color w:val="0A3A8C"/>
            <w:u w:val="single"/>
          </w:rPr>
          <w:t xml:space="preserve">§ 319</w:t>
        </w:r>
      </w:hyperlink>
      <w:r>
        <w:t xml:space="preserve">), sind als unter einheitlicher Leitung zusammengefaßt anzusehen. </w:t>
      </w:r>
      <w:r>
        <w:rPr>
          <w:rStyle w:val="Satznummer"/>
        </w:rPr>
        <w:t>3</w:t>
      </w:r>
      <w:r>
        <w:t>Von einem abhängigen Unternehmen wird vermutet, daß es mit dem herrschenden Unternehmen einen Konzern bildet.</w:t>
      </w:r>
    </w:p>
    <w:p>
      <w:r>
        <w:t>(2) Sind rechtlich selbständige Unternehmen, ohne daß das eine Unternehmen von dem anderen abhängig ist, unter einheitlicher Leitung zusammengefaßt, so bilden sie auch einen Konzern; die einzelnen Unternehmen sind Konzernunternehmen.</w:t>
      </w:r>
    </w:p>
    <w:p>
      <w:pPr>
        <w:pStyle w:val="Heading3"/>
      </w:pPr>
      <w:bookmarkStart w:id="22" w:name="b21"/>
      <w:r>
        <w:t>§ 19 Wechselseitig beteiligte Unternehmen</w:t>
      </w:r>
      <w:r>
        <w:t xml:space="preserve"> </w:t>
      </w:r>
      <w:r>
        <w:rPr>
          <w:rStyle w:val="Suchmarke"/>
        </w:rPr>
        <w:t>#19#</w:t>
      </w:r>
      <w:bookmarkEnd w:id="22"/>
    </w:p>
    <w:p>
      <w:r>
        <w:t xml:space="preserve">(1) </w:t>
      </w:r>
      <w:r>
        <w:rPr>
          <w:rStyle w:val="Satznummer"/>
        </w:rPr>
        <w:t>1</w:t>
      </w:r>
      <w:r>
        <w:t xml:space="preserve">Wechselseitig beteiligte Unternehmen sind Unternehmen mit Sitz im Inland in der Rechtsform einer Kapitalgesellschaft, die dadurch verbunden sind, daß jedem Unternehmen mehr als der vierte Teil der Anteile des anderen Unternehmens gehört. </w:t>
      </w:r>
      <w:r>
        <w:rPr>
          <w:rStyle w:val="Satznummer"/>
        </w:rPr>
        <w:t>2</w:t>
      </w:r>
      <w:r>
        <w:t xml:space="preserve">Für die Feststellung, ob einem Unternehmen mehr als der vierte Teil der Anteile des anderen Unternehmens gehört, gilt </w:t>
      </w:r>
      <w:hyperlink w:anchor="b18" w:history="1">
        <w:r>
          <w:rPr>
            <w:color w:val="0A3A8C"/>
            <w:u w:val="single"/>
          </w:rPr>
          <w:t xml:space="preserve">§ 16</w:t>
        </w:r>
      </w:hyperlink>
      <w:r>
        <w:t xml:space="preserve"> Abs. 2 Satz 1, Abs. 4.</w:t>
      </w:r>
    </w:p>
    <w:p>
      <w:r>
        <w:t>(2) Gehört einem wechselseitig beteiligten Unternehmen an dem anderen Unternehmen eine Mehrheitsbeteiligung oder kann das eine auf das andere Unternehmen unmittelbar oder mittelbar einen beherrschenden Einfluß ausüben, so ist das eine als herrschendes, das andere als abhängiges Unternehmen anzusehen.</w:t>
      </w:r>
    </w:p>
    <w:p>
      <w:r>
        <w:t>(3) Gehört jedem der wechselseitig beteiligten Unternehmen an dem anderen Unternehmen eine Mehrheitsbeteiligung oder kann jedes auf das andere unmittelbar oder mittelbar einen beherrschenden Einfluß ausüben, so gelten beide Unternehmen als herrschend und als abhängig.</w:t>
      </w:r>
    </w:p>
    <w:p>
      <w:r>
        <w:t xml:space="preserve">(4) </w:t>
      </w:r>
      <w:hyperlink w:anchor="b432" w:history="1">
        <w:r>
          <w:rPr>
            <w:color w:val="0A3A8C"/>
            <w:u w:val="single"/>
          </w:rPr>
          <w:t xml:space="preserve">§ 328</w:t>
        </w:r>
      </w:hyperlink>
      <w:r>
        <w:t xml:space="preserve"> ist auf Unternehmen, die nach Absatz 2 oder 3 herrschende oder abhängige Unternehmen sind, nicht anzuwenden.</w:t>
      </w:r>
    </w:p>
    <w:p>
      <w:pPr>
        <w:pStyle w:val="Heading3"/>
      </w:pPr>
      <w:bookmarkStart w:id="23" w:name="b22"/>
      <w:r>
        <w:t>§ 20 Mitteilungspflichten</w:t>
      </w:r>
      <w:r>
        <w:t xml:space="preserve"> </w:t>
      </w:r>
      <w:r>
        <w:rPr>
          <w:rStyle w:val="Suchmarke"/>
        </w:rPr>
        <w:t>#20#</w:t>
      </w:r>
      <w:bookmarkEnd w:id="23"/>
    </w:p>
    <w:p>
      <w:r>
        <w:t xml:space="preserve">(1) </w:t>
      </w:r>
      <w:r>
        <w:rPr>
          <w:rStyle w:val="Satznummer"/>
        </w:rPr>
        <w:t>1</w:t>
      </w:r>
      <w:r>
        <w:t xml:space="preserve">Sobald einem Unternehmen mehr als der vierte Teil der Aktien einer Aktiengesellschaft mit Sitz im Inland gehört, hat es dies der Gesellschaft unverzüglich in Textform mitzuteilen. </w:t>
      </w:r>
      <w:r>
        <w:rPr>
          <w:rStyle w:val="Satznummer"/>
        </w:rPr>
        <w:t>2</w:t>
      </w:r>
      <w:r>
        <w:t xml:space="preserve">Für die Feststellung, ob dem Unternehmen mehr als der vierte Teil der Aktien gehört, gilt </w:t>
      </w:r>
      <w:hyperlink w:anchor="b18" w:history="1">
        <w:r>
          <w:rPr>
            <w:color w:val="0A3A8C"/>
            <w:u w:val="single"/>
          </w:rPr>
          <w:t xml:space="preserve">§ 16</w:t>
        </w:r>
      </w:hyperlink>
      <w:r>
        <w:t xml:space="preserve"> Abs. 2 Satz 1, Abs. 4.</w:t>
      </w:r>
    </w:p>
    <w:p>
      <w:r>
        <w:t>(2) Für die Mitteilungspflicht nach Absatz 1 rechnen zu den Aktien, die dem Unternehmen gehören, auch Aktien,</w:t>
      </w:r>
    </w:p>
    <w:p>
      <w:pPr>
        <w:tabs>
          <w:tab w:pos="567" w:val="left"/>
        </w:tabs>
        <w:ind w:left="567" w:hanging="567"/>
      </w:pPr>
      <w:r>
        <w:t>1.</w:t>
      </w:r>
      <w:r>
        <w:tab/>
      </w:r>
      <w:r>
        <w:t>deren Übereignung das Unternehmen, ein von ihm abhängiges Unternehmen oder ein anderer für Rechnung des Unternehmens oder eines von diesem abhängigen Unternehmens verlangen kann;</w:t>
      </w:r>
    </w:p>
    <w:p>
      <w:pPr>
        <w:tabs>
          <w:tab w:pos="567" w:val="left"/>
        </w:tabs>
        <w:ind w:left="567" w:hanging="567"/>
      </w:pPr>
      <w:r>
        <w:t>2.</w:t>
      </w:r>
      <w:r>
        <w:tab/>
      </w:r>
      <w:r>
        <w:t>zu deren Abnahme das Unternehmen, ein von ihm abhängiges Unternehmen oder ein anderer für Rechnung des Unternehmens oder eines von diesem abhängigen Unternehmens verpflichtet ist.</w:t>
      </w:r>
    </w:p>
    <w:p>
      <w:r>
        <w:t>(3) Ist das Unternehmen eine Kapitalgesellschaft, so hat es, sobald ihm ohne Hinzurechnung der Aktien nach Absatz 2 mehr als der vierte Teil der Aktien gehört, auch dies der Gesellschaft unverzüglich in Textform mitzuteilen.</w:t>
      </w:r>
    </w:p>
    <w:p>
      <w:r>
        <w:t>(4) Sobald dem Unternehmen eine Mehrheitsbeteiligung (</w:t>
      </w:r>
      <w:hyperlink w:anchor="b18" w:history="1">
        <w:r>
          <w:rPr>
            <w:color w:val="0A3A8C"/>
            <w:u w:val="single"/>
          </w:rPr>
          <w:t xml:space="preserve">§ 16</w:t>
        </w:r>
      </w:hyperlink>
      <w:r>
        <w:t xml:space="preserve"> Abs. 1) gehört, hat es auch dies der Gesellschaft unverzüglich in Textform mitzuteilen.</w:t>
      </w:r>
    </w:p>
    <w:p>
      <w:r>
        <w:t>(5) Besteht die Beteiligung in der nach Absatz 1, 3 oder 4 mitteilungspflichtigen Höhe nicht mehr, so ist dies der Gesellschaft unverzüglich in Textform mitzuteilen.</w:t>
      </w:r>
    </w:p>
    <w:p>
      <w:r>
        <w:t xml:space="preserve">(6) </w:t>
      </w:r>
      <w:r>
        <w:rPr>
          <w:rStyle w:val="Satznummer"/>
        </w:rPr>
        <w:t>1</w:t>
      </w:r>
      <w:r>
        <w:t xml:space="preserve">Die Gesellschaft hat das Bestehen einer Beteiligung, die ihr nach Absatz 1 oder 4 mitgeteilt worden ist, unverzüglich in den Gesellschaftsblättern bekanntzumachen; dabei ist das Unternehmen anzugeben, dem die Beteiligung gehört. </w:t>
      </w:r>
      <w:r>
        <w:rPr>
          <w:rStyle w:val="Satznummer"/>
        </w:rPr>
        <w:t>2</w:t>
      </w:r>
      <w:r>
        <w:t>Wird der Gesellschaft mitgeteilt, daß die Beteiligung in der nach Absatz 1 oder 4 mitteilungspflichtigen Höhe nicht mehr besteht, so ist auch dies unverzüglich in den Gesellschaftsblättern bekanntzumachen.</w:t>
      </w:r>
    </w:p>
    <w:p>
      <w:r>
        <w:t xml:space="preserve">(7) </w:t>
      </w:r>
      <w:r>
        <w:rPr>
          <w:rStyle w:val="Satznummer"/>
        </w:rPr>
        <w:t>1</w:t>
      </w:r>
      <w:r>
        <w:t xml:space="preserve">Rechte aus Aktien, die einem nach Absatz 1 oder 4 mitteilungspflichtigen Unternehmen gehören, bestehen für die Zeit, für die das Unternehmen die Mitteilungspflicht nicht erfüllt, weder für das Unternehmen noch für ein von ihm abhängiges Unternehmen oder für einen anderen, der für Rechnung des Unternehmens oder eines von diesem abhängigen Unternehmens handelt. </w:t>
      </w:r>
      <w:r>
        <w:rPr>
          <w:rStyle w:val="Satznummer"/>
        </w:rPr>
        <w:t>2</w:t>
      </w:r>
      <w:r>
        <w:t xml:space="preserve">Dies gilt nicht für Ansprüche nach </w:t>
      </w:r>
      <w:hyperlink w:anchor="b65" w:history="1">
        <w:r>
          <w:rPr>
            <w:color w:val="0A3A8C"/>
            <w:u w:val="single"/>
          </w:rPr>
          <w:t xml:space="preserve">§ 58</w:t>
        </w:r>
      </w:hyperlink>
      <w:r>
        <w:t xml:space="preserve"> Abs. 4 und </w:t>
      </w:r>
      <w:hyperlink w:anchor="b346" w:history="1">
        <w:r>
          <w:rPr>
            <w:color w:val="0A3A8C"/>
            <w:u w:val="single"/>
          </w:rPr>
          <w:t xml:space="preserve">§ 271</w:t>
        </w:r>
      </w:hyperlink>
      <w:r>
        <w:t>, wenn die Mitteilung nicht vorsätzlich unterlassen wurde und nachgeholt worden ist.</w:t>
      </w:r>
    </w:p>
    <w:p>
      <w:r>
        <w:t>(8) Die Absätze 1 bis 7 gelten nicht für Aktien eines Emittenten im Sinne des § 33 Absatz 4 des Wertpapierhandelsgesetzes.</w:t>
      </w:r>
    </w:p>
    <w:p>
      <w:pPr>
        <w:pStyle w:val="Heading3"/>
      </w:pPr>
      <w:bookmarkStart w:id="24" w:name="b23"/>
      <w:r>
        <w:t>§ 21 Mitteilungspflichten der Gesellschaft</w:t>
      </w:r>
      <w:r>
        <w:t xml:space="preserve"> </w:t>
      </w:r>
      <w:r>
        <w:rPr>
          <w:rStyle w:val="Suchmarke"/>
        </w:rPr>
        <w:t>#21#</w:t>
      </w:r>
      <w:bookmarkEnd w:id="24"/>
    </w:p>
    <w:p>
      <w:r>
        <w:t xml:space="preserve">(1) </w:t>
      </w:r>
      <w:r>
        <w:rPr>
          <w:rStyle w:val="Satznummer"/>
        </w:rPr>
        <w:t>1</w:t>
      </w:r>
      <w:r>
        <w:t xml:space="preserve">Sobald der Gesellschaft mehr als der vierte Teil der Anteile einer anderen Kapitalgesellschaft mit Sitz im Inland gehört, hat sie dies dem Unternehmen, an dem die Beteiligung besteht, unverzüglich in Textform mitzuteilen. </w:t>
      </w:r>
      <w:r>
        <w:rPr>
          <w:rStyle w:val="Satznummer"/>
        </w:rPr>
        <w:t>2</w:t>
      </w:r>
      <w:r>
        <w:t xml:space="preserve">Für die Feststellung, ob der Gesellschaft mehr als der vierte Teil der Anteile gehört, gilt </w:t>
      </w:r>
      <w:hyperlink w:anchor="b18" w:history="1">
        <w:r>
          <w:rPr>
            <w:color w:val="0A3A8C"/>
            <w:u w:val="single"/>
          </w:rPr>
          <w:t xml:space="preserve">§ 16</w:t>
        </w:r>
      </w:hyperlink>
      <w:r>
        <w:t xml:space="preserve"> Abs. 2 Satz 1, Abs. 4 sinngemäß.</w:t>
      </w:r>
    </w:p>
    <w:p>
      <w:r>
        <w:t>(2) Sobald der Gesellschaft eine Mehrheitsbeteiligung (</w:t>
      </w:r>
      <w:hyperlink w:anchor="b18" w:history="1">
        <w:r>
          <w:rPr>
            <w:color w:val="0A3A8C"/>
            <w:u w:val="single"/>
          </w:rPr>
          <w:t xml:space="preserve">§ 16</w:t>
        </w:r>
      </w:hyperlink>
      <w:r>
        <w:t xml:space="preserve"> Abs. 1) an einem anderen Unternehmen gehört, hat sie dies dem Unternehmen, an dem die Mehrheitsbeteiligung besteht, unverzüglich in Textform mitzuteilen.</w:t>
      </w:r>
    </w:p>
    <w:p>
      <w:r>
        <w:t>(3) Besteht die Beteiligung in der nach Absatz 1 oder 2 mitteilungspflichtigen Höhe nicht mehr, hat die Gesellschaft dies dem anderen Unternehmen unverzüglich in Textform mitzuteilen.</w:t>
      </w:r>
    </w:p>
    <w:p>
      <w:r>
        <w:t xml:space="preserve">(4) </w:t>
      </w:r>
      <w:r>
        <w:rPr>
          <w:rStyle w:val="Satznummer"/>
        </w:rPr>
        <w:t>1</w:t>
      </w:r>
      <w:r>
        <w:t xml:space="preserve">Rechte aus Anteilen, die einer nach Absatz 1 oder 2 mitteilungspflichtigen Gesellschaft gehören, bestehen nicht für die Zeit, für die sie die Mitteilungspflicht nicht erfüllt. </w:t>
      </w:r>
      <w:r>
        <w:rPr>
          <w:rStyle w:val="Satznummer"/>
        </w:rPr>
        <w:t>2</w:t>
      </w:r>
      <w:hyperlink w:anchor="b22" w:history="1">
        <w:r>
          <w:rPr>
            <w:color w:val="0A3A8C"/>
            <w:u w:val="single"/>
          </w:rPr>
          <w:t xml:space="preserve">§ 20</w:t>
        </w:r>
      </w:hyperlink>
      <w:r>
        <w:t xml:space="preserve"> Abs. 7 Satz 2 gilt entsprechend.</w:t>
      </w:r>
    </w:p>
    <w:p>
      <w:r>
        <w:t>(5) Die Absätze 1 bis 4 gelten nicht für Aktien eines Emittenten im Sinne des § 33 Absatz 4 des Wertpapierhandelsgesetzes.</w:t>
      </w:r>
    </w:p>
    <w:p>
      <w:pPr>
        <w:pStyle w:val="Heading3"/>
      </w:pPr>
      <w:bookmarkStart w:id="25" w:name="b24"/>
      <w:r>
        <w:t>§ 22 Nachweis mitgeteilter Beteiligungen</w:t>
      </w:r>
      <w:r>
        <w:t xml:space="preserve"> </w:t>
      </w:r>
      <w:r>
        <w:rPr>
          <w:rStyle w:val="Suchmarke"/>
        </w:rPr>
        <w:t>#22#</w:t>
      </w:r>
      <w:bookmarkEnd w:id="25"/>
    </w:p>
    <w:p>
      <w:r>
        <w:t xml:space="preserve">Ein Unternehmen, dem eine Mitteilung nach </w:t>
      </w:r>
      <w:hyperlink w:anchor="b22" w:history="1">
        <w:r>
          <w:rPr>
            <w:color w:val="0A3A8C"/>
            <w:u w:val="single"/>
          </w:rPr>
          <w:t xml:space="preserve">§ 20</w:t>
        </w:r>
      </w:hyperlink>
      <w:r>
        <w:t xml:space="preserve"> Abs. 1, 3 oder 4, </w:t>
      </w:r>
      <w:hyperlink w:anchor="b23" w:history="1">
        <w:r>
          <w:rPr>
            <w:color w:val="0A3A8C"/>
            <w:u w:val="single"/>
          </w:rPr>
          <w:t xml:space="preserve">§ 21</w:t>
        </w:r>
      </w:hyperlink>
      <w:r>
        <w:t xml:space="preserve"> Abs. 1 oder 2 gemacht worden ist, kann jederzeit verlangen, daß ihm das Bestehen der Beteiligung nachgewiesen wird.</w:t>
      </w:r>
    </w:p>
    <w:p>
      <w:pPr>
        <w:pStyle w:val="Heading2"/>
      </w:pPr>
      <w:bookmarkStart w:id="26" w:name="b25"/>
      <w:r>
        <w:t>Zweiter Teil Gründung der Gesellschaft</w:t>
      </w:r>
      <w:bookmarkEnd w:id="26"/>
    </w:p>
    <w:p>
      <w:pPr>
        <w:pStyle w:val="Heading3"/>
      </w:pPr>
      <w:bookmarkStart w:id="27" w:name="b26"/>
      <w:r>
        <w:t>§ 23 Feststellung der Satzung</w:t>
      </w:r>
      <w:r>
        <w:t xml:space="preserve"> </w:t>
      </w:r>
      <w:r>
        <w:rPr>
          <w:rStyle w:val="Suchmarke"/>
        </w:rPr>
        <w:t>#23#</w:t>
      </w:r>
      <w:bookmarkEnd w:id="27"/>
    </w:p>
    <w:p>
      <w:r>
        <w:t xml:space="preserve">(1) </w:t>
      </w:r>
      <w:r>
        <w:rPr>
          <w:rStyle w:val="Satznummer"/>
        </w:rPr>
        <w:t>1</w:t>
      </w:r>
      <w:r>
        <w:t xml:space="preserve">Die Satzung muß durch notarielle Beurkundung festgestellt werden. </w:t>
      </w:r>
      <w:r>
        <w:rPr>
          <w:rStyle w:val="Satznummer"/>
        </w:rPr>
        <w:t>2</w:t>
      </w:r>
      <w:r>
        <w:t>Bevollmächtigte bedürfen einer notariell beglaubigten Vollmacht.</w:t>
      </w:r>
    </w:p>
    <w:p>
      <w:r>
        <w:t>(2) In der Urkunde sind anzugeben</w:t>
      </w:r>
    </w:p>
    <w:p>
      <w:pPr>
        <w:tabs>
          <w:tab w:pos="567" w:val="left"/>
        </w:tabs>
        <w:ind w:left="567" w:hanging="567"/>
      </w:pPr>
      <w:r>
        <w:t>1.</w:t>
      </w:r>
      <w:r>
        <w:tab/>
      </w:r>
      <w:r>
        <w:t>die Gründer;</w:t>
      </w:r>
    </w:p>
    <w:p>
      <w:pPr>
        <w:tabs>
          <w:tab w:pos="567" w:val="left"/>
        </w:tabs>
        <w:ind w:left="567" w:hanging="567"/>
      </w:pPr>
      <w:r>
        <w:t>2.</w:t>
      </w:r>
      <w:r>
        <w:tab/>
      </w:r>
      <w:r>
        <w:t>bei Nennbetragsaktien der Nennbetrag, bei Stückaktien die Zahl, der Ausgabebetrag und, wenn mehrere Gattungen bestehen, die Gattung der Aktien, die jeder Gründer übernimmt;</w:t>
      </w:r>
    </w:p>
    <w:p>
      <w:pPr>
        <w:tabs>
          <w:tab w:pos="567" w:val="left"/>
        </w:tabs>
        <w:ind w:left="567" w:hanging="567"/>
      </w:pPr>
      <w:r>
        <w:t>3.</w:t>
      </w:r>
      <w:r>
        <w:tab/>
      </w:r>
      <w:r>
        <w:t>der eingezahlte Betrag des Grundkapitals.</w:t>
      </w:r>
    </w:p>
    <w:p>
      <w:r>
        <w:t>(3) Die Satzung muß bestimmen</w:t>
      </w:r>
    </w:p>
    <w:p>
      <w:pPr>
        <w:tabs>
          <w:tab w:pos="567" w:val="left"/>
        </w:tabs>
        <w:ind w:left="567" w:hanging="567"/>
      </w:pPr>
      <w:r>
        <w:t>1.</w:t>
      </w:r>
      <w:r>
        <w:tab/>
      </w:r>
      <w:r>
        <w:t>die Firma und den Sitz der Gesellschaft;</w:t>
      </w:r>
    </w:p>
    <w:p>
      <w:pPr>
        <w:tabs>
          <w:tab w:pos="567" w:val="left"/>
        </w:tabs>
        <w:ind w:left="567" w:hanging="567"/>
      </w:pPr>
      <w:r>
        <w:t>2.</w:t>
      </w:r>
      <w:r>
        <w:tab/>
      </w:r>
      <w:r>
        <w:t>den Gegenstand des Unternehmens; namentlich ist bei Industrie- und Handelsunternehmen die Art der Erzeugnisse und Waren, die hergestellt und gehandelt werden sollen, näher anzugeben;</w:t>
      </w:r>
    </w:p>
    <w:p>
      <w:pPr>
        <w:tabs>
          <w:tab w:pos="567" w:val="left"/>
        </w:tabs>
        <w:ind w:left="567" w:hanging="567"/>
      </w:pPr>
      <w:r>
        <w:t>3.</w:t>
      </w:r>
      <w:r>
        <w:tab/>
      </w:r>
      <w:r>
        <w:t>die Höhe des Grundkapitals;</w:t>
      </w:r>
    </w:p>
    <w:p>
      <w:pPr>
        <w:tabs>
          <w:tab w:pos="567" w:val="left"/>
        </w:tabs>
        <w:ind w:left="567" w:hanging="567"/>
      </w:pPr>
      <w:r>
        <w:t>4.</w:t>
      </w:r>
      <w:r>
        <w:tab/>
      </w:r>
      <w:r>
        <w:t>die Zerlegung des Grundkapitals entweder in Nennbetragsaktien oder in Stückaktien, bei Nennbetragsaktien deren Nennbeträge und die Zahl der Aktien jeden Nennbetrags, bei Stückaktien deren Zahl, außerdem, wenn mehrere Gattungen bestehen, die Gattung der Aktien und die Zahl der Aktien jeder Gattung;</w:t>
      </w:r>
    </w:p>
    <w:p>
      <w:pPr>
        <w:tabs>
          <w:tab w:pos="567" w:val="left"/>
        </w:tabs>
        <w:ind w:left="567" w:hanging="567"/>
      </w:pPr>
      <w:r>
        <w:t>5.</w:t>
      </w:r>
      <w:r>
        <w:tab/>
      </w:r>
      <w:r>
        <w:t>ob die Aktien auf den Inhaber oder auf den Namen ausgestellt werden;</w:t>
      </w:r>
    </w:p>
    <w:p>
      <w:pPr>
        <w:tabs>
          <w:tab w:pos="567" w:val="left"/>
        </w:tabs>
        <w:ind w:left="567" w:hanging="567"/>
      </w:pPr>
      <w:r>
        <w:t>6.</w:t>
      </w:r>
      <w:r>
        <w:tab/>
      </w:r>
      <w:r>
        <w:t>die Zahl der Mitglieder des Vorstands oder die Regeln, nach denen diese Zahl festgelegt wird.</w:t>
      </w:r>
    </w:p>
    <w:p>
      <w:r>
        <w:t>(4) Die Satzung muß ferner Bestimmungen über die Form der Bekanntmachungen der Gesellschaft enthalten.</w:t>
      </w:r>
    </w:p>
    <w:p>
      <w:r>
        <w:t xml:space="preserve">(5) </w:t>
      </w:r>
      <w:r>
        <w:rPr>
          <w:rStyle w:val="Satznummer"/>
        </w:rPr>
        <w:t>1</w:t>
      </w:r>
      <w:r>
        <w:t xml:space="preserve">Die Satzung kann von den Vorschriften dieses Gesetzes nur abweichen, wenn es ausdrücklich zugelassen ist. </w:t>
      </w:r>
      <w:r>
        <w:rPr>
          <w:rStyle w:val="Satznummer"/>
        </w:rPr>
        <w:t>2</w:t>
      </w:r>
      <w:r>
        <w:t>Ergänzende Bestimmungen der Satzung sind zulässig, es sei denn, daß dieses Gesetz eine abschließende Regelung enthält.</w:t>
      </w:r>
    </w:p>
    <w:p>
      <w:pPr>
        <w:pStyle w:val="Heading3"/>
      </w:pPr>
      <w:bookmarkStart w:id="28" w:name="b27"/>
      <w:r>
        <w:t>§ 24 (weggefallen)</w:t>
      </w:r>
      <w:r>
        <w:t xml:space="preserve"> </w:t>
      </w:r>
      <w:r>
        <w:rPr>
          <w:rStyle w:val="Suchmarke"/>
        </w:rPr>
        <w:t>#24#</w:t>
      </w:r>
      <w:bookmarkEnd w:id="28"/>
    </w:p>
    <w:p>
      <w:pPr>
        <w:pStyle w:val="Heading3"/>
      </w:pPr>
      <w:bookmarkStart w:id="29" w:name="b28"/>
      <w:r>
        <w:t>§ 25 Bekanntmachungen der Gesellschaft</w:t>
      </w:r>
      <w:r>
        <w:t xml:space="preserve"> </w:t>
      </w:r>
      <w:r>
        <w:rPr>
          <w:rStyle w:val="Suchmarke"/>
        </w:rPr>
        <w:t>#25#</w:t>
      </w:r>
      <w:bookmarkEnd w:id="29"/>
    </w:p>
    <w:p>
      <w:r>
        <w:t>Bestimmt das Gesetz oder die Satzung, daß eine Bekanntmachung der Gesellschaft durch die Gesellschaftsblätter erfolgen soll, so ist sie in den Bundesanzeiger einzurücken.</w:t>
      </w:r>
    </w:p>
    <w:p>
      <w:pPr>
        <w:pStyle w:val="Heading3"/>
      </w:pPr>
      <w:bookmarkStart w:id="30" w:name="b29"/>
      <w:r>
        <w:t>§ 26 Sondervorteile. Gründungsaufwand</w:t>
      </w:r>
      <w:r>
        <w:t xml:space="preserve"> </w:t>
      </w:r>
      <w:r>
        <w:rPr>
          <w:rStyle w:val="Suchmarke"/>
        </w:rPr>
        <w:t>#26#</w:t>
      </w:r>
      <w:bookmarkEnd w:id="30"/>
    </w:p>
    <w:p>
      <w:r>
        <w:t>(1) Jeder einem einzelnen Aktionär oder einem Dritten eingeräumte besondere Vorteil muß in der Satzung unter Bezeichnung des Berechtigten festgesetzt werden.</w:t>
      </w:r>
    </w:p>
    <w:p>
      <w:r>
        <w:t>(2) Der Gesamtaufwand, der zu Lasten der Gesellschaft an Aktionäre oder an andere Personen als Entschädigung oder als Belohnung für die Gründung oder ihre Vorbereitung gewährt wird, ist in der Satzung gesondert festzusetzen.</w:t>
      </w:r>
    </w:p>
    <w:p>
      <w:r>
        <w:t xml:space="preserve">(3) </w:t>
      </w:r>
      <w:r>
        <w:rPr>
          <w:rStyle w:val="Satznummer"/>
        </w:rPr>
        <w:t>1</w:t>
      </w:r>
      <w:r>
        <w:t xml:space="preserve">Ohne diese Festsetzung sind die Verträge und die Rechtshandlungen zu ihrer Ausführung der Gesellschaft gegenüber unwirksam. </w:t>
      </w:r>
      <w:r>
        <w:rPr>
          <w:rStyle w:val="Satznummer"/>
        </w:rPr>
        <w:t>2</w:t>
      </w:r>
      <w:r>
        <w:t>Nach der Eintragung der Gesellschaft in das Handelsregister kann die Unwirksamkeit nicht durch Satzungsänderung geheilt werden.</w:t>
      </w:r>
    </w:p>
    <w:p>
      <w:r>
        <w:t>(4) Die Festsetzungen können erst geändert werden, wenn die Gesellschaft fünf Jahre im Handelsregister eingetragen ist.</w:t>
      </w:r>
    </w:p>
    <w:p>
      <w:r>
        <w:t>(5) Die Satzungsbestimmungen über die Festsetzungen können durch Satzungsänderung erst beseitigt werden, wenn die Gesellschaft dreißig Jahre im Handelsregister eingetragen ist und wenn die Rechtsverhältnisse, die den Festsetzungen zugrunde liegen, seit mindestens fünf Jahren abgewickelt sind.</w:t>
      </w:r>
    </w:p>
    <w:p>
      <w:pPr>
        <w:pStyle w:val="Heading3"/>
      </w:pPr>
      <w:bookmarkStart w:id="31" w:name="b30"/>
      <w:r>
        <w:t>§ 27 Sacheinlagen, Sachübernahmen; Rückzahlung von Einlagen</w:t>
      </w:r>
      <w:r>
        <w:t xml:space="preserve"> </w:t>
      </w:r>
      <w:r>
        <w:rPr>
          <w:rStyle w:val="Suchmarke"/>
        </w:rPr>
        <w:t>#27#</w:t>
      </w:r>
      <w:bookmarkEnd w:id="31"/>
    </w:p>
    <w:p>
      <w:r>
        <w:t xml:space="preserve">(1) </w:t>
      </w:r>
      <w:r>
        <w:rPr>
          <w:rStyle w:val="Satznummer"/>
        </w:rPr>
        <w:t>1</w:t>
      </w:r>
      <w:r>
        <w:t xml:space="preserve">Sollen Aktionäre Einlagen machen, die nicht durch Einzahlung des Ausgabebetrags der Aktien zu leisten sind (Sacheinlagen), oder soll die Gesellschaft vorhandene oder herzustellende Anlagen oder andere Vermögensgegenstände übernehmen (Sachübernahmen), so müssen in der Satzung festgesetzt werden der Gegenstand der Sacheinlage oder der Sachübernahme, die Person, von der die Gesellschaft den Gegenstand erwirbt, und der Nennbetrag, bei Stückaktien die Zahl der bei der Sacheinlage zu gewährenden Aktien oder die bei der Sachübernahme zu gewährende Vergütung. </w:t>
      </w:r>
      <w:r>
        <w:rPr>
          <w:rStyle w:val="Satznummer"/>
        </w:rPr>
        <w:t>2</w:t>
      </w:r>
      <w:r>
        <w:t>Soll die Gesellschaft einen Vermögensgegenstand übernehmen, für den eine Vergütung gewährt wird, die auf die Einlage eines Aktionärs angerechnet werden soll, so gilt dies als Sacheinlage.</w:t>
      </w:r>
    </w:p>
    <w:p>
      <w:r>
        <w:t>(2) Sacheinlagen oder Sachübernahmen können nur Vermögensgegenstände sein, deren wirtschaftlicher Wert feststellbar ist; Verpflichtungen zu Dienstleistungen können nicht Sacheinlagen oder Sachübernahmen sein.</w:t>
      </w:r>
    </w:p>
    <w:p>
      <w:r>
        <w:t xml:space="preserve">(3) </w:t>
      </w:r>
      <w:r>
        <w:rPr>
          <w:rStyle w:val="Satznummer"/>
        </w:rPr>
        <w:t>1</w:t>
      </w:r>
      <w:r>
        <w:t xml:space="preserve">Ist eine Geldeinlage eines Aktionärs bei wirtschaftlicher Betrachtung und auf Grund einer im Zusammenhang mit der Übernahme der Geldeinlage getroffenen Abrede vollständig oder teilweise als Sacheinlage zu bewerten (verdeckte Sacheinlage), so befreit dies den Aktionär nicht von seiner Einlageverpflichtung. </w:t>
      </w:r>
      <w:r>
        <w:rPr>
          <w:rStyle w:val="Satznummer"/>
        </w:rPr>
        <w:t>2</w:t>
      </w:r>
      <w:r>
        <w:t xml:space="preserve">Jedoch sind die Verträge über die Sacheinlage und die Rechtshandlungen zu ihrer Ausführung nicht unwirksam. </w:t>
      </w:r>
      <w:r>
        <w:rPr>
          <w:rStyle w:val="Satznummer"/>
        </w:rPr>
        <w:t>3</w:t>
      </w:r>
      <w:r>
        <w:t xml:space="preserve">Auf die fortbestehende Geldeinlagepflicht des Aktionärs wird der Wert des Vermögensgegenstandes im Zeitpunkt der Anmeldung der Gesellschaft zur Eintragung in das Handelsregister oder im Zeitpunkt seiner Überlassung an die Gesellschaft, falls diese später erfolgt, angerechnet. </w:t>
      </w:r>
      <w:r>
        <w:rPr>
          <w:rStyle w:val="Satznummer"/>
        </w:rPr>
        <w:t>4</w:t>
      </w:r>
      <w:r>
        <w:t xml:space="preserve">Die Anrechnung erfolgt nicht vor Eintragung der Gesellschaft in das Handelsregister. </w:t>
      </w:r>
      <w:r>
        <w:rPr>
          <w:rStyle w:val="Satznummer"/>
        </w:rPr>
        <w:t>5</w:t>
      </w:r>
      <w:r>
        <w:t>Die Beweislast für die Werthaltigkeit des Vermögensgegenstandes trägt der Aktionär.</w:t>
      </w:r>
    </w:p>
    <w:p>
      <w:r>
        <w:t xml:space="preserve">(4) </w:t>
      </w:r>
      <w:r>
        <w:rPr>
          <w:rStyle w:val="Satznummer"/>
        </w:rPr>
        <w:t>1</w:t>
      </w:r>
      <w:r>
        <w:t xml:space="preserve">Ist vor der Einlage eine Leistung an den Aktionär vereinbart worden, die wirtschaftlich einer Rückzahlung der Einlage entspricht und die nicht als verdeckte Sacheinlage im Sinne von Absatz 3 zu beurteilen ist, so befreit dies den Aktionär von seiner Einlageverpflichtung nur dann, wenn die Leistung durch einen vollwertigen Rückgewähranspruch gedeckt ist, der jederzeit fällig ist oder durch fristlose Kündigung durch die Gesellschaft fällig werden kann. </w:t>
      </w:r>
      <w:r>
        <w:rPr>
          <w:rStyle w:val="Satznummer"/>
        </w:rPr>
        <w:t>2</w:t>
      </w:r>
      <w:r>
        <w:t xml:space="preserve">Eine solche Leistung oder die Vereinbarung einer solchen Leistung ist in der Anmeldung nach </w:t>
      </w:r>
      <w:hyperlink w:anchor="b42" w:history="1">
        <w:r>
          <w:rPr>
            <w:color w:val="0A3A8C"/>
            <w:u w:val="single"/>
          </w:rPr>
          <w:t xml:space="preserve">§ 37</w:t>
        </w:r>
      </w:hyperlink>
      <w:r>
        <w:t xml:space="preserve"> anzugeben.</w:t>
      </w:r>
    </w:p>
    <w:p>
      <w:r>
        <w:t xml:space="preserve">(5) Für die Änderung rechtswirksam getroffener Festsetzungen gilt </w:t>
      </w:r>
      <w:hyperlink w:anchor="b29" w:history="1">
        <w:r>
          <w:rPr>
            <w:color w:val="0A3A8C"/>
            <w:u w:val="single"/>
          </w:rPr>
          <w:t xml:space="preserve">§ 26</w:t>
        </w:r>
      </w:hyperlink>
      <w:r>
        <w:t xml:space="preserve"> Abs. 4, für die Beseitigung der Satzungsbestimmungen </w:t>
      </w:r>
      <w:hyperlink w:anchor="b29" w:history="1">
        <w:r>
          <w:rPr>
            <w:color w:val="0A3A8C"/>
            <w:u w:val="single"/>
          </w:rPr>
          <w:t xml:space="preserve">§ 26</w:t>
        </w:r>
      </w:hyperlink>
      <w:r>
        <w:t xml:space="preserve"> Abs. 5.</w:t>
      </w:r>
    </w:p>
    <w:p>
      <w:pPr>
        <w:pStyle w:val="Heading3"/>
      </w:pPr>
      <w:bookmarkStart w:id="32" w:name="b31"/>
      <w:r>
        <w:t>§ 28 Gründer</w:t>
      </w:r>
      <w:r>
        <w:t xml:space="preserve"> </w:t>
      </w:r>
      <w:r>
        <w:rPr>
          <w:rStyle w:val="Suchmarke"/>
        </w:rPr>
        <w:t>#28#</w:t>
      </w:r>
      <w:bookmarkEnd w:id="32"/>
    </w:p>
    <w:p>
      <w:r>
        <w:t>Die Aktionäre, die die Satzung festgestellt haben, sind die Gründer der Gesellschaft.</w:t>
      </w:r>
    </w:p>
    <w:p>
      <w:pPr>
        <w:pStyle w:val="Heading3"/>
      </w:pPr>
      <w:bookmarkStart w:id="33" w:name="b32"/>
      <w:r>
        <w:t>§ 29 Errichtung der Gesellschaft</w:t>
      </w:r>
      <w:r>
        <w:t xml:space="preserve"> </w:t>
      </w:r>
      <w:r>
        <w:rPr>
          <w:rStyle w:val="Suchmarke"/>
        </w:rPr>
        <w:t>#29#</w:t>
      </w:r>
      <w:bookmarkEnd w:id="33"/>
    </w:p>
    <w:p>
      <w:r>
        <w:t>Mit der Übernahme aller Aktien durch die Gründer ist die Gesellschaft errichtet.</w:t>
      </w:r>
    </w:p>
    <w:p>
      <w:pPr>
        <w:pStyle w:val="Heading3"/>
      </w:pPr>
      <w:bookmarkStart w:id="34" w:name="b33"/>
      <w:r>
        <w:t>§ 30 Bestellung des Aufsichtsrats, des Vorstands und des Abschlußprüfers</w:t>
      </w:r>
      <w:r>
        <w:t xml:space="preserve"> </w:t>
      </w:r>
      <w:r>
        <w:rPr>
          <w:rStyle w:val="Suchmarke"/>
        </w:rPr>
        <w:t>#30#</w:t>
      </w:r>
      <w:bookmarkEnd w:id="34"/>
    </w:p>
    <w:p>
      <w:r>
        <w:t xml:space="preserve">(1) </w:t>
      </w:r>
      <w:r>
        <w:rPr>
          <w:rStyle w:val="Satznummer"/>
        </w:rPr>
        <w:t>1</w:t>
      </w:r>
      <w:r>
        <w:t xml:space="preserve">Die Gründer haben den ersten Aufsichtsrat der Gesellschaft und den Abschlußprüfer für das erste Voll- oder Rumpfgeschäftsjahr zu bestellen. </w:t>
      </w:r>
      <w:r>
        <w:rPr>
          <w:rStyle w:val="Satznummer"/>
        </w:rPr>
        <w:t>2</w:t>
      </w:r>
      <w:r>
        <w:t>Die Bestellung bedarf notarieller Beurkundung.</w:t>
      </w:r>
    </w:p>
    <w:p>
      <w:r>
        <w:t>(2) Auf die Zusammensetzung und die Bestellung des ersten Aufsichtsrats sind die Vorschriften über die Bestellung von Aufsichtsratsmitgliedern der Arbeitnehmer nicht anzuwenden.</w:t>
      </w:r>
    </w:p>
    <w:p>
      <w:r>
        <w:t xml:space="preserve">(3) </w:t>
      </w:r>
      <w:r>
        <w:rPr>
          <w:rStyle w:val="Satznummer"/>
        </w:rPr>
        <w:t>1</w:t>
      </w:r>
      <w:r>
        <w:t xml:space="preserve">Die Mitglieder des ersten Aufsichtsrats können nicht für längere Zeit als bis zur Beendigung der Hauptversammlung bestellt werden, die über die Entlastung für das erste Voll- oder Rumpfgeschäftsjahr beschließt. </w:t>
      </w:r>
      <w:r>
        <w:rPr>
          <w:rStyle w:val="Satznummer"/>
        </w:rPr>
        <w:t>2</w:t>
      </w:r>
      <w:r>
        <w:t xml:space="preserve">Der Vorstand hat rechtzeitig vor Ablauf der Amtszeit des ersten Aufsichtsrats bekanntzumachen, nach welchen gesetzlichen Vorschriften der nächste Aufsichtsrat nach seiner Ansicht zusammenzusetzen ist; </w:t>
      </w:r>
      <w:hyperlink w:anchor="b118" w:history="1">
        <w:r>
          <w:rPr>
            <w:color w:val="0A3A8C"/>
            <w:u w:val="single"/>
          </w:rPr>
          <w:t xml:space="preserve">§§ 96</w:t>
        </w:r>
      </w:hyperlink>
      <w:r>
        <w:t xml:space="preserve"> bis </w:t>
      </w:r>
      <w:hyperlink w:anchor="b121" w:history="1">
        <w:r>
          <w:rPr>
            <w:color w:val="0A3A8C"/>
            <w:u w:val="single"/>
          </w:rPr>
          <w:t xml:space="preserve">99</w:t>
        </w:r>
      </w:hyperlink>
      <w:r>
        <w:t xml:space="preserve"> sind anzuwenden.</w:t>
      </w:r>
    </w:p>
    <w:p>
      <w:r>
        <w:t>(4) Der Aufsichtsrat bestellt den ersten Vorstand.</w:t>
      </w:r>
    </w:p>
    <w:p>
      <w:pPr>
        <w:pStyle w:val="Heading3"/>
      </w:pPr>
      <w:bookmarkStart w:id="35" w:name="b34"/>
      <w:r>
        <w:t>§ 31 Bestellung des Aufsichtsrats bei Sachgründung</w:t>
      </w:r>
      <w:r>
        <w:t xml:space="preserve"> </w:t>
      </w:r>
      <w:r>
        <w:rPr>
          <w:rStyle w:val="Suchmarke"/>
        </w:rPr>
        <w:t>#31#</w:t>
      </w:r>
      <w:bookmarkEnd w:id="35"/>
    </w:p>
    <w:p>
      <w:r>
        <w:t xml:space="preserve">(1) </w:t>
      </w:r>
      <w:r>
        <w:rPr>
          <w:rStyle w:val="Satznummer"/>
        </w:rPr>
        <w:t>1</w:t>
      </w:r>
      <w:r>
        <w:t xml:space="preserve">Ist in der Satzung als Gegenstand einer Sacheinlage oder Sachübernahme die Einbringung oder Übernahme eines Unternehmens oder eines Teils eines Unternehmens festgesetzt worden, so haben die Gründer nur so viele Aufsichtsratsmitglieder zu bestellen, wie nach den gesetzlichen Vorschriften, die nach ihrer Ansicht nach der Einbringung oder Übernahme für die Zusammensetzung des Aufsichtsrats maßgebend sind, von der Hauptversammlung ohne Bindung an Wahlvorschläge zu wählen sind. </w:t>
      </w:r>
      <w:r>
        <w:rPr>
          <w:rStyle w:val="Satznummer"/>
        </w:rPr>
        <w:t>2</w:t>
      </w:r>
      <w:r>
        <w:t>Sie haben jedoch, wenn dies nur zwei Aufsichtsratsmitglieder sind, drei Aufsichtsratsmitglieder zu bestellen.</w:t>
      </w:r>
    </w:p>
    <w:p>
      <w:r>
        <w:t>(2) Der nach Absatz 1 Satz 1 bestellte Aufsichtsrat ist, soweit die Satzung nichts anderes bestimmt, beschlußfähig, wenn die Hälfte, mindestens jedoch drei seiner Mitglieder an der Beschlußfassung teilnehmen.</w:t>
      </w:r>
    </w:p>
    <w:p>
      <w:r>
        <w:t xml:space="preserve">(3) </w:t>
      </w:r>
      <w:r>
        <w:rPr>
          <w:rStyle w:val="Satznummer"/>
        </w:rPr>
        <w:t>1</w:t>
      </w:r>
      <w:r>
        <w:t xml:space="preserve">Unverzüglich nach der Einbringung oder Übernahme des Unternehmens oder des Unternehmensteils hat der Vorstand bekanntzumachen, nach welchen gesetzlichen Vorschriften nach seiner Ansicht der Aufsichtsrat zusammengesetzt sein muß. </w:t>
      </w:r>
      <w:r>
        <w:rPr>
          <w:rStyle w:val="Satznummer"/>
        </w:rPr>
        <w:t>2</w:t>
      </w:r>
      <w:hyperlink w:anchor="b119" w:history="1">
        <w:r>
          <w:rPr>
            <w:color w:val="0A3A8C"/>
            <w:u w:val="single"/>
          </w:rPr>
          <w:t xml:space="preserve">§§ 97</w:t>
        </w:r>
      </w:hyperlink>
      <w:r>
        <w:t xml:space="preserve"> bis </w:t>
      </w:r>
      <w:hyperlink w:anchor="b121" w:history="1">
        <w:r>
          <w:rPr>
            <w:color w:val="0A3A8C"/>
            <w:u w:val="single"/>
          </w:rPr>
          <w:t xml:space="preserve">99</w:t>
        </w:r>
      </w:hyperlink>
      <w:r>
        <w:t xml:space="preserve"> gelten sinngemäß. </w:t>
      </w:r>
      <w:r>
        <w:rPr>
          <w:rStyle w:val="Satznummer"/>
        </w:rPr>
        <w:t>3</w:t>
      </w:r>
      <w:r>
        <w:t>Das Amt der bisherigen Aufsichtsratsmitglieder erlischt nur, wenn der Aufsichtsrat nach anderen als den von den Gründern für maßgebend gehaltenen Vorschriften zusammenzusetzen ist oder wenn die Gründer drei Aufsichtsratsmitglieder bestellt haben, der Aufsichtsrat aber auch aus Aufsichtsratsmitgliedern der Arbeitnehmer zu bestehen hat.</w:t>
      </w:r>
    </w:p>
    <w:p>
      <w:r>
        <w:t xml:space="preserve">(4) Absatz 3 gilt nicht, wenn das Unternehmen oder der Unternehmensteil erst nach der Bekanntmachung des Vorstands nach </w:t>
      </w:r>
      <w:hyperlink w:anchor="b33" w:history="1">
        <w:r>
          <w:rPr>
            <w:color w:val="0A3A8C"/>
            <w:u w:val="single"/>
          </w:rPr>
          <w:t xml:space="preserve">§ 30</w:t>
        </w:r>
      </w:hyperlink>
      <w:r>
        <w:t xml:space="preserve"> Abs. 3 Satz 2 eingebracht oder übernommen wird.</w:t>
      </w:r>
    </w:p>
    <w:p>
      <w:r>
        <w:t xml:space="preserve">(5) </w:t>
      </w:r>
      <w:hyperlink w:anchor="b33" w:history="1">
        <w:r>
          <w:rPr>
            <w:color w:val="0A3A8C"/>
            <w:u w:val="single"/>
          </w:rPr>
          <w:t xml:space="preserve">§ 30</w:t>
        </w:r>
      </w:hyperlink>
      <w:r>
        <w:t xml:space="preserve"> Abs. 3 Satz 1 gilt nicht für die nach Absatz 3 bestellten Aufsichtsratsmitglieder der Arbeitnehmer.</w:t>
      </w:r>
    </w:p>
    <w:p>
      <w:pPr>
        <w:pStyle w:val="Heading3"/>
      </w:pPr>
      <w:bookmarkStart w:id="36" w:name="b35"/>
      <w:r>
        <w:t>§ 32 Gründungsbericht</w:t>
      </w:r>
      <w:r>
        <w:t xml:space="preserve"> </w:t>
      </w:r>
      <w:r>
        <w:rPr>
          <w:rStyle w:val="Suchmarke"/>
        </w:rPr>
        <w:t>#32#</w:t>
      </w:r>
      <w:bookmarkEnd w:id="36"/>
    </w:p>
    <w:p>
      <w:r>
        <w:t>(1) Die Gründer haben einen schriftlichen Bericht über den Hergang der Gründung zu erstatten (Gründungsbericht).</w:t>
      </w:r>
    </w:p>
    <w:p>
      <w:r>
        <w:t xml:space="preserve">(2) </w:t>
      </w:r>
      <w:r>
        <w:rPr>
          <w:rStyle w:val="Satznummer"/>
        </w:rPr>
        <w:t>1</w:t>
      </w:r>
      <w:r>
        <w:t xml:space="preserve">Im Gründungsbericht sind die wesentlichen Umstände darzulegen, von denen die Angemessenheit der Leistungen für Sacheinlagen oder Sachübernahmen abhängt. </w:t>
      </w:r>
      <w:r>
        <w:rPr>
          <w:rStyle w:val="Satznummer"/>
        </w:rPr>
        <w:t>2</w:t>
      </w:r>
      <w:r>
        <w:t>Dabei sind anzugeben</w:t>
      </w:r>
    </w:p>
    <w:p>
      <w:pPr>
        <w:tabs>
          <w:tab w:pos="567" w:val="left"/>
        </w:tabs>
        <w:ind w:left="567" w:hanging="567"/>
      </w:pPr>
      <w:r>
        <w:t>1.</w:t>
      </w:r>
      <w:r>
        <w:tab/>
      </w:r>
      <w:r>
        <w:t>die vorausgegangenen Rechtsgeschäfte, die auf den Erwerb durch die Gesellschaft hingezielt haben;</w:t>
      </w:r>
    </w:p>
    <w:p>
      <w:pPr>
        <w:tabs>
          <w:tab w:pos="567" w:val="left"/>
        </w:tabs>
        <w:ind w:left="567" w:hanging="567"/>
      </w:pPr>
      <w:r>
        <w:t>2.</w:t>
      </w:r>
      <w:r>
        <w:tab/>
      </w:r>
      <w:r>
        <w:t>die Anschaffungs- und Herstellungskosten aus den letzten beiden Jahren;</w:t>
      </w:r>
    </w:p>
    <w:p>
      <w:pPr>
        <w:tabs>
          <w:tab w:pos="567" w:val="left"/>
        </w:tabs>
        <w:ind w:left="567" w:hanging="567"/>
      </w:pPr>
      <w:r>
        <w:t>3.</w:t>
      </w:r>
      <w:r>
        <w:tab/>
      </w:r>
      <w:r>
        <w:t>beim Übergang eines Unternehmens auf die Gesellschaft die Betriebserträge aus den letzten beiden Geschäftsjahren.</w:t>
      </w:r>
    </w:p>
    <w:p>
      <w:r>
        <w:t>(3) Im Gründungsbericht ist ferner anzugeben, ob und in welchem Umfang bei der Gründung für Rechnung eines Mitglieds des Vorstands oder des Aufsichtsrats Aktien übernommen worden sind und ob und in welcher Weise ein Mitglied des Vorstands oder des Aufsichtsrats sich einen besonderen Vorteil oder für die Gründung oder ihre Vorbereitung eine Entschädigung oder Belohnung ausbedungen hat.</w:t>
      </w:r>
    </w:p>
    <w:p>
      <w:pPr>
        <w:pStyle w:val="Heading3"/>
      </w:pPr>
      <w:bookmarkStart w:id="37" w:name="b36"/>
      <w:r>
        <w:t>§ 33 Gründungsprüfung. Allgemeines</w:t>
      </w:r>
      <w:r>
        <w:t xml:space="preserve"> </w:t>
      </w:r>
      <w:r>
        <w:rPr>
          <w:rStyle w:val="Suchmarke"/>
        </w:rPr>
        <w:t>#33#</w:t>
      </w:r>
      <w:bookmarkEnd w:id="37"/>
    </w:p>
    <w:p>
      <w:r>
        <w:t>(1) Die Mitglieder des Vorstands und des Aufsichtsrats haben den Hergang der Gründung zu prüfen.</w:t>
      </w:r>
    </w:p>
    <w:p>
      <w:r>
        <w:t>(2) Außerdem hat eine Prüfung durch einen oder mehrere Prüfer (Gründungsprüfer) stattzufinden, wenn</w:t>
      </w:r>
    </w:p>
    <w:p>
      <w:pPr>
        <w:tabs>
          <w:tab w:pos="567" w:val="left"/>
        </w:tabs>
        <w:ind w:left="567" w:hanging="567"/>
      </w:pPr>
      <w:r>
        <w:t>1.</w:t>
      </w:r>
      <w:r>
        <w:tab/>
      </w:r>
      <w:r>
        <w:t>ein Mitglied des Vorstands oder des Aufsichtsrats zu den Gründern gehört oder</w:t>
      </w:r>
    </w:p>
    <w:p>
      <w:pPr>
        <w:tabs>
          <w:tab w:pos="567" w:val="left"/>
        </w:tabs>
        <w:ind w:left="567" w:hanging="567"/>
      </w:pPr>
      <w:r>
        <w:t>2.</w:t>
      </w:r>
      <w:r>
        <w:tab/>
      </w:r>
      <w:r>
        <w:t>bei der Gründung für Rechnung eines Mitglieds des Vorstands oder des Aufsichtsrats Aktien übernommen worden sind oder</w:t>
      </w:r>
    </w:p>
    <w:p>
      <w:pPr>
        <w:tabs>
          <w:tab w:pos="567" w:val="left"/>
        </w:tabs>
        <w:ind w:left="567" w:hanging="567"/>
      </w:pPr>
      <w:r>
        <w:t>3.</w:t>
      </w:r>
      <w:r>
        <w:tab/>
      </w:r>
      <w:r>
        <w:t>ein Mitglied des Vorstands oder des Aufsichtsrats sich einen besonderen Vorteil oder für die Gründung oder ihre Vorbereitung eine Entschädigung oder Belohnung ausbedungen hat oder</w:t>
      </w:r>
    </w:p>
    <w:p>
      <w:pPr>
        <w:tabs>
          <w:tab w:pos="567" w:val="left"/>
        </w:tabs>
        <w:ind w:left="567" w:hanging="567"/>
      </w:pPr>
      <w:r>
        <w:t>4.</w:t>
      </w:r>
      <w:r>
        <w:tab/>
      </w:r>
      <w:r>
        <w:t>eine Gründung mit Sacheinlagen oder Sachübernahmen vorliegt.</w:t>
      </w:r>
    </w:p>
    <w:p>
      <w:r>
        <w:t xml:space="preserve">(3) </w:t>
      </w:r>
      <w:r>
        <w:rPr>
          <w:rStyle w:val="Satznummer"/>
        </w:rPr>
        <w:t>1</w:t>
      </w:r>
      <w:r>
        <w:t>In den Fällen des Absatzes 2 Nr. 1 und 2 kann der beurkundende Notar (</w:t>
      </w:r>
      <w:hyperlink w:anchor="b26" w:history="1">
        <w:r>
          <w:rPr>
            <w:color w:val="0A3A8C"/>
            <w:u w:val="single"/>
          </w:rPr>
          <w:t xml:space="preserve">§ 23</w:t>
        </w:r>
      </w:hyperlink>
      <w:r>
        <w:t xml:space="preserve"> Abs. 1 Satz 1) anstelle eines Gründungsprüfers die Prüfung im Auftrag der Gründer vornehmen; die Bestimmungen über die Gründungsprüfung finden sinngemäße Anwendung. </w:t>
      </w:r>
      <w:r>
        <w:rPr>
          <w:rStyle w:val="Satznummer"/>
        </w:rPr>
        <w:t>2</w:t>
      </w:r>
      <w:r>
        <w:t xml:space="preserve">Nimmt nicht der Notar die Prüfung vor, so bestellt das Gericht die Gründungsprüfer. </w:t>
      </w:r>
      <w:r>
        <w:rPr>
          <w:rStyle w:val="Satznummer"/>
        </w:rPr>
        <w:t>3</w:t>
      </w:r>
      <w:r>
        <w:t>Gegen die Entscheidung ist die Beschwerde zulässig.</w:t>
      </w:r>
    </w:p>
    <w:p>
      <w:r>
        <w:t>(4) Als Gründungsprüfer sollen, wenn die Prüfung keine anderen Kenntnisse fordert, nur bestellt werden</w:t>
      </w:r>
    </w:p>
    <w:p>
      <w:pPr>
        <w:tabs>
          <w:tab w:pos="567" w:val="left"/>
        </w:tabs>
        <w:ind w:left="567" w:hanging="567"/>
      </w:pPr>
      <w:r>
        <w:t>1.</w:t>
      </w:r>
      <w:r>
        <w:tab/>
      </w:r>
      <w:r>
        <w:t>Personen, die in der Buchführung ausreichend vorgebildet und erfahren sind;</w:t>
      </w:r>
    </w:p>
    <w:p>
      <w:pPr>
        <w:tabs>
          <w:tab w:pos="567" w:val="left"/>
        </w:tabs>
        <w:ind w:left="567" w:hanging="567"/>
      </w:pPr>
      <w:r>
        <w:t>2.</w:t>
      </w:r>
      <w:r>
        <w:tab/>
      </w:r>
      <w:r>
        <w:t>Prüfungsgesellschaften, von deren gesetzlichen Vertretern mindestens einer in der Buchführung ausreichend vorgebildet und erfahren ist.</w:t>
      </w:r>
    </w:p>
    <w:p>
      <w:r>
        <w:t xml:space="preserve">(5) </w:t>
      </w:r>
      <w:r>
        <w:rPr>
          <w:rStyle w:val="Satznummer"/>
        </w:rPr>
        <w:t>1</w:t>
      </w:r>
      <w:r>
        <w:t xml:space="preserve">Als Gründungsprüfer darf nicht bestellt werden, wer nach </w:t>
      </w:r>
      <w:hyperlink w:anchor="b187" w:history="1">
        <w:r>
          <w:rPr>
            <w:color w:val="0A3A8C"/>
            <w:u w:val="single"/>
          </w:rPr>
          <w:t xml:space="preserve">§ 143</w:t>
        </w:r>
      </w:hyperlink>
      <w:r>
        <w:t xml:space="preserve"> Abs. 2 nicht Sonderprüfer sein kann. </w:t>
      </w:r>
      <w:r>
        <w:rPr>
          <w:rStyle w:val="Satznummer"/>
        </w:rPr>
        <w:t>2</w:t>
      </w:r>
      <w:r>
        <w:t>Gleiches gilt für Personen und Prüfungsgesellschaften, auf deren Geschäftsführung die Gründer oder Personen, für deren Rechnung die Gründer Aktien übernommen haben, maßgebenden Einfluß haben.</w:t>
      </w:r>
    </w:p>
    <w:p>
      <w:pPr>
        <w:pStyle w:val="Heading3"/>
      </w:pPr>
      <w:bookmarkStart w:id="38" w:name="b37"/>
      <w:r>
        <w:t>§ 33a Sachgründung ohne externe Gründungsprüfung</w:t>
      </w:r>
      <w:r>
        <w:t xml:space="preserve"> </w:t>
      </w:r>
      <w:r>
        <w:rPr>
          <w:rStyle w:val="Suchmarke"/>
        </w:rPr>
        <w:t>#33a#</w:t>
      </w:r>
      <w:bookmarkEnd w:id="38"/>
    </w:p>
    <w:p>
      <w:r>
        <w:t>(1) Von einer Prüfung durch Gründungsprüfer kann bei einer Gründung mit Sacheinlagen oder Sachübernahmen (</w:t>
      </w:r>
      <w:hyperlink w:anchor="b36" w:history="1">
        <w:r>
          <w:rPr>
            <w:color w:val="0A3A8C"/>
            <w:u w:val="single"/>
          </w:rPr>
          <w:t xml:space="preserve">§ 33</w:t>
        </w:r>
      </w:hyperlink>
      <w:r>
        <w:t xml:space="preserve"> Abs. 2 Nr. 4) abgesehen werden, soweit eingebracht werden sollen:</w:t>
      </w:r>
    </w:p>
    <w:p>
      <w:pPr>
        <w:tabs>
          <w:tab w:pos="567" w:val="left"/>
        </w:tabs>
        <w:ind w:left="567" w:hanging="567"/>
      </w:pPr>
      <w:r>
        <w:t>1.</w:t>
      </w:r>
      <w:r>
        <w:tab/>
      </w:r>
      <w:r>
        <w:t>übertragbare Wertpapiere oder Geldmarktinstrumente im Sinne des § 2 Absatz 1 und 2 des Wertpapierhandelsgesetzes, wenn sie mit dem gewichteten Durchschnittspreis bewertet werden, zu dem sie während der letzten drei Monate vor dem Tag ihrer tatsächlichen Einbringung auf einem oder mehreren organisierten Märkten im Sinne von § 2 Absatz 11 des Wertpapierhandelsgesetzes gehandelt worden sind,</w:t>
      </w:r>
    </w:p>
    <w:p>
      <w:pPr>
        <w:tabs>
          <w:tab w:pos="567" w:val="left"/>
        </w:tabs>
        <w:ind w:left="567" w:hanging="567"/>
      </w:pPr>
      <w:r>
        <w:t>2.</w:t>
      </w:r>
      <w:r>
        <w:tab/>
      </w:r>
      <w:r>
        <w:t>andere als die in Nummer 1 genannten Vermögensgegenstände, wenn eine Bewertung zu Grunde gelegt wird, die ein unabhängiger, ausreichend vorgebildeter und erfahrener Sachverständiger nach den allgemein anerkannten Bewertungsgrundsätzen mit dem beizulegenden Zeitwert ermittelt hat und wenn der Bewertungsstichtag nicht mehr als sechs Monate vor dem Tag der tatsächlichen Einbringung liegt.</w:t>
      </w:r>
    </w:p>
    <w:p>
      <w:r>
        <w:t>(2) Absatz 1 ist nicht anzuwenden, wenn der gewichtete Durchschnittspreis der Wertpapiere oder Geldmarktinstrumente (Absatz 1 Nr. 1) durch außergewöhnliche Umstände erheblich beeinflusst worden ist oder wenn anzunehmen ist, dass der beizulegende Zeitwert der anderen Vermögensgegenstände (Absatz 1 Nr. 2) am Tag ihrer tatsächlichen Einbringung auf Grund neuer oder neu bekannt gewordener Umstände erheblich niedriger ist als der von dem Sachverständigen angenommene Wert.</w:t>
      </w:r>
    </w:p>
    <w:p>
      <w:pPr>
        <w:pStyle w:val="Heading3"/>
      </w:pPr>
      <w:bookmarkStart w:id="39" w:name="b38"/>
      <w:r>
        <w:t>§ 34 Umfang der Gründungsprüfung</w:t>
      </w:r>
      <w:r>
        <w:t xml:space="preserve"> </w:t>
      </w:r>
      <w:r>
        <w:rPr>
          <w:rStyle w:val="Suchmarke"/>
        </w:rPr>
        <w:t>#34#</w:t>
      </w:r>
      <w:bookmarkEnd w:id="39"/>
    </w:p>
    <w:p>
      <w:r>
        <w:t>(1) Die Prüfung durch die Mitglieder des Vorstands und des Aufsichtsrats sowie die Prüfung durch die Gründungsprüfer haben sich namentlich darauf zu erstrecken,</w:t>
      </w:r>
    </w:p>
    <w:p>
      <w:pPr>
        <w:tabs>
          <w:tab w:pos="567" w:val="left"/>
        </w:tabs>
        <w:ind w:left="567" w:hanging="567"/>
      </w:pPr>
      <w:r>
        <w:t>1.</w:t>
      </w:r>
      <w:r>
        <w:tab/>
      </w:r>
      <w:r>
        <w:t xml:space="preserve">ob die Angaben der Gründer über die Übernahme der Aktien, über die Einlagen auf das Grundkapital und über die Festsetzungen nach </w:t>
      </w:r>
      <w:hyperlink w:anchor="b29" w:history="1">
        <w:r>
          <w:rPr>
            <w:color w:val="0A3A8C"/>
            <w:u w:val="single"/>
          </w:rPr>
          <w:t xml:space="preserve">§§ 26</w:t>
        </w:r>
      </w:hyperlink>
      <w:r>
        <w:t xml:space="preserve"> und </w:t>
      </w:r>
      <w:hyperlink w:anchor="b30" w:history="1">
        <w:r>
          <w:rPr>
            <w:color w:val="0A3A8C"/>
            <w:u w:val="single"/>
          </w:rPr>
          <w:t xml:space="preserve">27</w:t>
        </w:r>
      </w:hyperlink>
      <w:r>
        <w:t xml:space="preserve"> richtig und vollständig sind;</w:t>
      </w:r>
    </w:p>
    <w:p>
      <w:pPr>
        <w:tabs>
          <w:tab w:pos="567" w:val="left"/>
        </w:tabs>
        <w:ind w:left="567" w:hanging="567"/>
      </w:pPr>
      <w:r>
        <w:t>2.</w:t>
      </w:r>
      <w:r>
        <w:tab/>
      </w:r>
      <w:r>
        <w:t>ob der Wert der Sacheinlagen oder Sachübernahmen den geringsten Ausgabebetrag der dafür zu gewährenden Aktien oder den Wert der dafür zu gewährenden Leistungen erreicht.</w:t>
      </w:r>
    </w:p>
    <w:p>
      <w:r>
        <w:t xml:space="preserve">(2) </w:t>
      </w:r>
      <w:r>
        <w:rPr>
          <w:rStyle w:val="Satznummer"/>
        </w:rPr>
        <w:t>1</w:t>
      </w:r>
      <w:r>
        <w:t xml:space="preserve">Über jede Prüfung ist unter Darlegung dieser Umstände schriftlich zu berichten. </w:t>
      </w:r>
      <w:r>
        <w:rPr>
          <w:rStyle w:val="Satznummer"/>
        </w:rPr>
        <w:t>2</w:t>
      </w:r>
      <w:r>
        <w:t xml:space="preserve">In dem Bericht ist der Gegenstand jeder Sacheinlage oder Sachübernahme zu beschreiben sowie anzugeben, welche Bewertungsmethoden bei der Ermittlung des Wertes angewandt worden sind. </w:t>
      </w:r>
      <w:r>
        <w:rPr>
          <w:rStyle w:val="Satznummer"/>
        </w:rPr>
        <w:t>3</w:t>
      </w:r>
      <w:r>
        <w:t>In dem Prüfungsbericht der Mitglieder des Vorstands und des Aufsichtsrats kann davon sowie von Ausführungen zu Absatz 1 Nr. 2 abgesehen werden, soweit nach § 33a von einer externen Gründungsprüfung abgesehen wird.</w:t>
      </w:r>
    </w:p>
    <w:p>
      <w:r>
        <w:t xml:space="preserve">(3) </w:t>
      </w:r>
      <w:r>
        <w:rPr>
          <w:rStyle w:val="Satznummer"/>
        </w:rPr>
        <w:t>1</w:t>
      </w:r>
      <w:r>
        <w:t xml:space="preserve">Je ein Stück des Berichts der Gründungsprüfer ist dem Gericht und dem Vorstand einzureichen. </w:t>
      </w:r>
      <w:r>
        <w:rPr>
          <w:rStyle w:val="Satznummer"/>
        </w:rPr>
        <w:t>2</w:t>
      </w:r>
      <w:r>
        <w:t>Jedermann kann den Bericht bei dem Gericht einsehen.</w:t>
      </w:r>
    </w:p>
    <w:p>
      <w:pPr>
        <w:pStyle w:val="Heading3"/>
      </w:pPr>
      <w:bookmarkStart w:id="40" w:name="b39"/>
      <w:r>
        <w:t>§ 35 Meinungsverschiedenheiten zwischen Gründern und Gründungsprüfern. Vergütung und Auslagen der Gründungsprüfer</w:t>
      </w:r>
      <w:r>
        <w:t xml:space="preserve"> </w:t>
      </w:r>
      <w:r>
        <w:rPr>
          <w:rStyle w:val="Suchmarke"/>
        </w:rPr>
        <w:t>#35#</w:t>
      </w:r>
      <w:bookmarkEnd w:id="40"/>
    </w:p>
    <w:p>
      <w:r>
        <w:t>(1) Die Gründungsprüfer können von den Gründern alle Aufklärungen und Nachweise verlangen, die für eine sorgfältige Prüfung notwendig sind.</w:t>
      </w:r>
    </w:p>
    <w:p>
      <w:r>
        <w:t xml:space="preserve">(2) </w:t>
      </w:r>
      <w:r>
        <w:rPr>
          <w:rStyle w:val="Satznummer"/>
        </w:rPr>
        <w:t>1</w:t>
      </w:r>
      <w:r>
        <w:t xml:space="preserve">Bei Meinungsverschiedenheiten zwischen den Gründern und den Gründungsprüfern über den Umfang der Aufklärungen und Nachweise, die von den Gründern zu gewähren sind, entscheidet das Gericht. </w:t>
      </w:r>
      <w:r>
        <w:rPr>
          <w:rStyle w:val="Satznummer"/>
        </w:rPr>
        <w:t>2</w:t>
      </w:r>
      <w:r>
        <w:t xml:space="preserve">Die Entscheidung ist unanfechtbar. </w:t>
      </w:r>
      <w:r>
        <w:rPr>
          <w:rStyle w:val="Satznummer"/>
        </w:rPr>
        <w:t>3</w:t>
      </w:r>
      <w:r>
        <w:t>Solange sich die Gründer weigern, der Entscheidung nachzukommen, wird der Prüfungsbericht nicht erstattet.</w:t>
      </w:r>
    </w:p>
    <w:p>
      <w:r>
        <w:t xml:space="preserve">(3) </w:t>
      </w:r>
      <w:r>
        <w:rPr>
          <w:rStyle w:val="Satznummer"/>
        </w:rPr>
        <w:t>1</w:t>
      </w:r>
      <w:r>
        <w:t xml:space="preserve">Die Gründungsprüfer haben Anspruch auf Ersatz angemessener barer Auslagen und auf Vergütung für ihre Tätigkeit. </w:t>
      </w:r>
      <w:r>
        <w:rPr>
          <w:rStyle w:val="Satznummer"/>
        </w:rPr>
        <w:t>2</w:t>
      </w:r>
      <w:r>
        <w:t xml:space="preserve">Die Auslagen und die Vergütung setzt das Gericht fest. </w:t>
      </w:r>
      <w:r>
        <w:rPr>
          <w:rStyle w:val="Satznummer"/>
        </w:rPr>
        <w:t>3</w:t>
      </w:r>
      <w:r>
        <w:t xml:space="preserve">Gegen die Entscheidung ist die Beschwerde zulässig; die Rechtsbeschwerde ist ausgeschlossen. </w:t>
      </w:r>
      <w:r>
        <w:rPr>
          <w:rStyle w:val="Satznummer"/>
        </w:rPr>
        <w:t>4</w:t>
      </w:r>
      <w:r>
        <w:t>Aus der rechtskräftigen Entscheidung findet die Zwangsvollstreckung nach der Zivilprozeßordnung statt.</w:t>
      </w:r>
    </w:p>
    <w:p>
      <w:pPr>
        <w:pStyle w:val="Heading3"/>
      </w:pPr>
      <w:bookmarkStart w:id="41" w:name="b40"/>
      <w:r>
        <w:t>§ 36 Anmeldung der Gesellschaft</w:t>
      </w:r>
      <w:r>
        <w:t xml:space="preserve"> </w:t>
      </w:r>
      <w:r>
        <w:rPr>
          <w:rStyle w:val="Suchmarke"/>
        </w:rPr>
        <w:t>#36#</w:t>
      </w:r>
      <w:bookmarkEnd w:id="41"/>
    </w:p>
    <w:p>
      <w:r>
        <w:t>(1) Die Gesellschaft ist bei dem Gericht von allen Gründern und Mitgliedern des Vorstands und des Aufsichtsrats zur Eintragung in das Handelsregister anzumelden.</w:t>
      </w:r>
    </w:p>
    <w:p>
      <w:r>
        <w:t>(2) Die Anmeldung darf erst erfolgen, wenn auf jede Aktie, soweit nicht Sacheinlagen vereinbart sind, der eingeforderte Betrag ordnungsgemäß eingezahlt worden ist (</w:t>
      </w:r>
      <w:hyperlink w:anchor="b61" w:history="1">
        <w:r>
          <w:rPr>
            <w:color w:val="0A3A8C"/>
            <w:u w:val="single"/>
          </w:rPr>
          <w:t xml:space="preserve">§ 54</w:t>
        </w:r>
      </w:hyperlink>
      <w:r>
        <w:t xml:space="preserve"> Abs. 3) und, soweit er nicht bereits zur Bezahlung der bei der Gründung angefallenen Steuern und Gebühren verwandt wurde, endgültig zur freien Verfügung des Vorstands steht.</w:t>
      </w:r>
    </w:p>
    <w:p>
      <w:pPr>
        <w:pStyle w:val="Heading3"/>
      </w:pPr>
      <w:bookmarkStart w:id="42" w:name="b41"/>
      <w:r>
        <w:t>§ 36a Leistung der Einlagen</w:t>
      </w:r>
      <w:r>
        <w:t xml:space="preserve"> </w:t>
      </w:r>
      <w:r>
        <w:rPr>
          <w:rStyle w:val="Suchmarke"/>
        </w:rPr>
        <w:t>#36a#</w:t>
      </w:r>
      <w:bookmarkEnd w:id="42"/>
    </w:p>
    <w:p>
      <w:r>
        <w:t>(1) Bei Bareinlagen muß der eingeforderte Betrag (</w:t>
      </w:r>
      <w:hyperlink w:anchor="b40" w:history="1">
        <w:r>
          <w:rPr>
            <w:color w:val="0A3A8C"/>
            <w:u w:val="single"/>
          </w:rPr>
          <w:t xml:space="preserve">§ 36</w:t>
        </w:r>
      </w:hyperlink>
      <w:r>
        <w:t xml:space="preserve"> Abs. 2) mindestens ein Viertel des geringsten Ausgabebetrags und bei Ausgabe der Aktien für einen höheren als diesen auch den Mehrbetrag umfassen.</w:t>
      </w:r>
    </w:p>
    <w:p>
      <w:r>
        <w:t xml:space="preserve">(2) </w:t>
      </w:r>
      <w:r>
        <w:rPr>
          <w:rStyle w:val="Satznummer"/>
        </w:rPr>
        <w:t>1</w:t>
      </w:r>
      <w:r>
        <w:t xml:space="preserve">Sacheinlagen sind vollständig zu leisten. </w:t>
      </w:r>
      <w:r>
        <w:rPr>
          <w:rStyle w:val="Satznummer"/>
        </w:rPr>
        <w:t>2</w:t>
      </w:r>
      <w:r>
        <w:t xml:space="preserve">Besteht die Sacheinlage in der Verpflichtung, einen Vermögensgegenstand auf die Gesellschaft zu übertragen, so muß diese Leistung innerhalb von fünf Jahren nach der Eintragung der Gesellschaft in das Handelsregister zu bewirken sein. </w:t>
      </w:r>
      <w:r>
        <w:rPr>
          <w:rStyle w:val="Satznummer"/>
        </w:rPr>
        <w:t>3</w:t>
      </w:r>
      <w:r>
        <w:t>Der Wert muß dem geringsten Ausgabebetrag und bei Ausgabe der Aktien für einen höheren als diesen auch dem Mehrbetrag entsprechen.</w:t>
      </w:r>
    </w:p>
    <w:p>
      <w:pPr>
        <w:pStyle w:val="Heading3"/>
      </w:pPr>
      <w:bookmarkStart w:id="43" w:name="b42"/>
      <w:r>
        <w:t>§ 37 Inhalt der Anmeldung</w:t>
      </w:r>
      <w:r>
        <w:t xml:space="preserve"> </w:t>
      </w:r>
      <w:r>
        <w:rPr>
          <w:rStyle w:val="Suchmarke"/>
        </w:rPr>
        <w:t>#37#</w:t>
      </w:r>
      <w:bookmarkEnd w:id="43"/>
    </w:p>
    <w:p>
      <w:r>
        <w:t xml:space="preserve">(1) </w:t>
      </w:r>
      <w:r>
        <w:rPr>
          <w:rStyle w:val="Satznummer"/>
        </w:rPr>
        <w:t>1</w:t>
      </w:r>
      <w:r>
        <w:t xml:space="preserve">In der Anmeldung ist zu erklären, daß die Voraussetzungen des </w:t>
      </w:r>
      <w:hyperlink w:anchor="b40" w:history="1">
        <w:r>
          <w:rPr>
            <w:color w:val="0A3A8C"/>
            <w:u w:val="single"/>
          </w:rPr>
          <w:t xml:space="preserve">§ 36</w:t>
        </w:r>
      </w:hyperlink>
      <w:r>
        <w:t xml:space="preserve"> Abs. 2 und des </w:t>
      </w:r>
      <w:hyperlink w:anchor="b41" w:history="1">
        <w:r>
          <w:rPr>
            <w:color w:val="0A3A8C"/>
            <w:u w:val="single"/>
          </w:rPr>
          <w:t xml:space="preserve">§ 36a</w:t>
        </w:r>
      </w:hyperlink>
      <w:r>
        <w:t xml:space="preserve"> erfüllt sind; dabei sind der Betrag, zu dem die Aktien ausgegeben werden, und der darauf eingezahlte Betrag anzugeben. </w:t>
      </w:r>
      <w:r>
        <w:rPr>
          <w:rStyle w:val="Satznummer"/>
        </w:rPr>
        <w:t>2</w:t>
      </w:r>
      <w:r>
        <w:t xml:space="preserve">Es ist nachzuweisen, daß der eingezahlte Betrag endgültig zur freien Verfügung des Vorstands steht. </w:t>
      </w:r>
      <w:r>
        <w:rPr>
          <w:rStyle w:val="Satznummer"/>
        </w:rPr>
        <w:t>3</w:t>
      </w:r>
      <w:r>
        <w:t xml:space="preserve">Ist der Betrag gemäß </w:t>
      </w:r>
      <w:hyperlink w:anchor="b61" w:history="1">
        <w:r>
          <w:rPr>
            <w:color w:val="0A3A8C"/>
            <w:u w:val="single"/>
          </w:rPr>
          <w:t xml:space="preserve">§ 54</w:t>
        </w:r>
      </w:hyperlink>
      <w:r>
        <w:t xml:space="preserve"> Abs. 3 durch Gutschrift auf ein Konto eingezahlt worden, so ist der Nachweis durch eine Bestätigung des kontoführenden Instituts zu führen. </w:t>
      </w:r>
      <w:r>
        <w:rPr>
          <w:rStyle w:val="Satznummer"/>
        </w:rPr>
        <w:t>4</w:t>
      </w:r>
      <w:r>
        <w:t xml:space="preserve">Für die Richtigkeit der Bestätigung ist das Institut der Gesellschaft verantwortlich. </w:t>
      </w:r>
      <w:r>
        <w:rPr>
          <w:rStyle w:val="Satznummer"/>
        </w:rPr>
        <w:t>5</w:t>
      </w:r>
      <w:r>
        <w:t>Sind von dem eingezahlten Betrag Steuern und Gebühren bezahlt worden, so ist dies nach Art und Höhe der Beträge nachzuweisen.</w:t>
      </w:r>
    </w:p>
    <w:p>
      <w:r>
        <w:t xml:space="preserve">(2) </w:t>
      </w:r>
      <w:r>
        <w:rPr>
          <w:rStyle w:val="Satznummer"/>
        </w:rPr>
        <w:t>1</w:t>
      </w:r>
      <w:r>
        <w:t xml:space="preserve">In der Anmeldung haben die Vorstandsmitglieder zu versichern, daß keine Umstände vorliegen, die ihrer Bestellung nach </w:t>
      </w:r>
      <w:hyperlink w:anchor="b96" w:history="1">
        <w:r>
          <w:rPr>
            <w:color w:val="0A3A8C"/>
            <w:u w:val="single"/>
          </w:rPr>
          <w:t xml:space="preserve">§ 76</w:t>
        </w:r>
      </w:hyperlink>
      <w:r>
        <w:t xml:space="preserve"> Absatz 3 Satz 2 Nummer 2 und 3 sowie Satz 3 und 4 entgegenstehen, und daß sie über ihre unbeschränkte Auskunftspflicht gegenüber dem Gericht belehrt worden sind. </w:t>
      </w:r>
      <w:r>
        <w:rPr>
          <w:rStyle w:val="Satznummer"/>
        </w:rPr>
        <w:t>2</w:t>
      </w:r>
      <w:r>
        <w:t>Die Belehrung nach § 53 Abs. 2 des Bundeszentralregistergesetzes kann schriftlich vorgenommen werden; sie kann auch durch einen Notar oder einen im Ausland bestellten Notar, durch einen Vertreter eines vergleichbaren rechtsberatenden Berufs oder einen Konsularbeamten erfolgen.</w:t>
      </w:r>
    </w:p>
    <w:p>
      <w:r>
        <w:t>(3) In der Anmeldung sind ferner anzugeben:</w:t>
      </w:r>
    </w:p>
    <w:p>
      <w:pPr>
        <w:tabs>
          <w:tab w:pos="567" w:val="left"/>
        </w:tabs>
        <w:ind w:left="567" w:hanging="567"/>
      </w:pPr>
      <w:r>
        <w:t>1.</w:t>
      </w:r>
      <w:r>
        <w:tab/>
      </w:r>
      <w:r>
        <w:t>eine inländische Geschäftsanschrift,</w:t>
      </w:r>
    </w:p>
    <w:p>
      <w:pPr>
        <w:tabs>
          <w:tab w:pos="567" w:val="left"/>
        </w:tabs>
        <w:ind w:left="567" w:hanging="567"/>
      </w:pPr>
      <w:r>
        <w:t>2.</w:t>
      </w:r>
      <w:r>
        <w:tab/>
      </w:r>
      <w:r>
        <w:t>Art und Umfang der Vertretungsbefugnis der Vorstandsmitglieder.</w:t>
      </w:r>
    </w:p>
    <w:p>
      <w:r>
        <w:t>(4) Der Anmeldung sind beizufügen</w:t>
      </w:r>
    </w:p>
    <w:p>
      <w:pPr>
        <w:tabs>
          <w:tab w:pos="567" w:val="left"/>
        </w:tabs>
        <w:ind w:left="567" w:hanging="567"/>
      </w:pPr>
      <w:r>
        <w:t>1.</w:t>
      </w:r>
      <w:r>
        <w:tab/>
      </w:r>
      <w:r>
        <w:t>die Satzung und die Urkunden, in denen die Satzung festgestellt worden ist und die Aktien von den Gründern übernommen worden sind;</w:t>
      </w:r>
    </w:p>
    <w:p>
      <w:pPr>
        <w:tabs>
          <w:tab w:pos="567" w:val="left"/>
        </w:tabs>
        <w:ind w:left="567" w:hanging="567"/>
      </w:pPr>
      <w:r>
        <w:t>2.</w:t>
      </w:r>
      <w:r>
        <w:tab/>
      </w:r>
      <w:r>
        <w:t xml:space="preserve">im Fall der </w:t>
      </w:r>
      <w:hyperlink w:anchor="b29" w:history="1">
        <w:r>
          <w:rPr>
            <w:color w:val="0A3A8C"/>
            <w:u w:val="single"/>
          </w:rPr>
          <w:t xml:space="preserve">§§ 26</w:t>
        </w:r>
      </w:hyperlink>
      <w:r>
        <w:t xml:space="preserve"> und </w:t>
      </w:r>
      <w:hyperlink w:anchor="b30" w:history="1">
        <w:r>
          <w:rPr>
            <w:color w:val="0A3A8C"/>
            <w:u w:val="single"/>
          </w:rPr>
          <w:t xml:space="preserve">27</w:t>
        </w:r>
      </w:hyperlink>
      <w:r>
        <w:t xml:space="preserve"> die Verträge, die den Festsetzungen zugrunde liegen oder zu ihrer Ausführung geschlossen worden sind, und eine Berechnung des der Gesellschaft zur Last fallenden Gründungsaufwands; in der Berechnung sind die Vergütungen nach Art und Höhe und die Empfänger einzeln anzuführen;</w:t>
      </w:r>
    </w:p>
    <w:p>
      <w:pPr>
        <w:tabs>
          <w:tab w:pos="567" w:val="left"/>
        </w:tabs>
        <w:ind w:left="567" w:hanging="567"/>
      </w:pPr>
      <w:r>
        <w:t>3.</w:t>
      </w:r>
      <w:r>
        <w:tab/>
      </w:r>
      <w:r>
        <w:t>die Urkunden über die Bestellung des Vorstands und des Aufsichtsrats;</w:t>
      </w:r>
    </w:p>
    <w:p>
      <w:pPr>
        <w:tabs>
          <w:tab w:pos="567" w:val="left"/>
        </w:tabs>
        <w:ind w:left="567" w:hanging="567"/>
      </w:pPr>
      <w:r>
        <w:t>3a.</w:t>
      </w:r>
      <w:r>
        <w:tab/>
      </w:r>
      <w:r>
        <w:t>eine Liste der Mitglieder des Aufsichtsrats, aus welcher Name, Vorname, ausgeübter Beruf und Wohnort der Mitglieder ersichtlich ist;</w:t>
      </w:r>
    </w:p>
    <w:p>
      <w:pPr>
        <w:tabs>
          <w:tab w:pos="567" w:val="left"/>
        </w:tabs>
        <w:ind w:left="567" w:hanging="567"/>
      </w:pPr>
      <w:r>
        <w:t>4.</w:t>
      </w:r>
      <w:r>
        <w:tab/>
      </w:r>
      <w:r>
        <w:t>der Gründungsbericht und die Prüfungsberichte der Mitglieder des Vorstands und des Aufsichtsrats sowie der Gründungsprüfer nebst ihren urkundlichen Unterlagen.</w:t>
      </w:r>
    </w:p>
    <w:p>
      <w:pPr>
        <w:tabs>
          <w:tab w:pos="567" w:val="left"/>
        </w:tabs>
        <w:ind w:left="567" w:hanging="567"/>
      </w:pPr>
      <w:r>
        <w:t>5.</w:t>
      </w:r>
      <w:r>
        <w:tab/>
      </w:r>
      <w:r>
        <w:t>(weggefallen)</w:t>
      </w:r>
    </w:p>
    <w:p>
      <w:r>
        <w:t>(5) Für die Einreichung von Unterlagen nach diesem Gesetz gilt § 12 Abs. 2 des Handelsgesetzbuchs entsprechend.</w:t>
      </w:r>
    </w:p>
    <w:p>
      <w:r>
        <w:t>(6) (weggefallen)</w:t>
      </w:r>
    </w:p>
    <w:p>
      <w:pPr>
        <w:pStyle w:val="Heading3"/>
      </w:pPr>
      <w:bookmarkStart w:id="44" w:name="b43"/>
      <w:r>
        <w:t>§ 37a Anmeldung bei Sachgründung ohne externe Gründungsprüfung</w:t>
      </w:r>
      <w:r>
        <w:t xml:space="preserve"> </w:t>
      </w:r>
      <w:r>
        <w:rPr>
          <w:rStyle w:val="Suchmarke"/>
        </w:rPr>
        <w:t>#37a#</w:t>
      </w:r>
      <w:bookmarkEnd w:id="44"/>
    </w:p>
    <w:p>
      <w:r>
        <w:t xml:space="preserve">(1) </w:t>
      </w:r>
      <w:r>
        <w:rPr>
          <w:rStyle w:val="Satznummer"/>
        </w:rPr>
        <w:t>1</w:t>
      </w:r>
      <w:r>
        <w:t xml:space="preserve">Wird nach § 33a von einer externen Gründungsprüfung abgesehen, ist dies in der Anmeldung zu erklären. </w:t>
      </w:r>
      <w:r>
        <w:rPr>
          <w:rStyle w:val="Satznummer"/>
        </w:rPr>
        <w:t>2</w:t>
      </w:r>
      <w:r>
        <w:t xml:space="preserve">Der Gegenstand jeder Sacheinlage oder Sachübernahme ist zu beschreiben. </w:t>
      </w:r>
      <w:r>
        <w:rPr>
          <w:rStyle w:val="Satznummer"/>
        </w:rPr>
        <w:t>3</w:t>
      </w:r>
      <w:r>
        <w:t xml:space="preserve">Die Anmeldung muss die Erklärung enthalten, dass der Wert der Sacheinlagen oder Sachübernahmen den geringsten Ausgabebetrag der dafür zu gewährenden Aktien oder den Wert der dafür zu gewährenden Leistungen erreicht. </w:t>
      </w:r>
      <w:r>
        <w:rPr>
          <w:rStyle w:val="Satznummer"/>
        </w:rPr>
        <w:t>4</w:t>
      </w:r>
      <w:r>
        <w:t>Der Wert, die Quelle der Bewertung sowie die angewandte Bewertungsmethode sind anzugeben.</w:t>
      </w:r>
    </w:p>
    <w:p>
      <w:r>
        <w:t xml:space="preserve">(2) In der Anmeldung haben die Anmeldenden außerdem zu versichern, dass ihnen außergewöhnliche Umstände, die den gewichteten Durchschnittspreis der einzubringenden Wertpapiere oder Geldmarktinstrumente im Sinne von </w:t>
      </w:r>
      <w:hyperlink w:anchor="b37" w:history="1">
        <w:r>
          <w:rPr>
            <w:color w:val="0A3A8C"/>
            <w:u w:val="single"/>
          </w:rPr>
          <w:t xml:space="preserve">§ 33a</w:t>
        </w:r>
      </w:hyperlink>
      <w:r>
        <w:t xml:space="preserve"> Abs. 1 Nr. 1 während der letzten drei Monate vor dem Tag ihrer tatsächlichen Einbringung erheblich beeinflusst haben könnten, oder Umstände, die darauf hindeuten, dass der beizulegende Zeitwert der Vermögensgegenstände im Sinne von </w:t>
      </w:r>
      <w:hyperlink w:anchor="b37" w:history="1">
        <w:r>
          <w:rPr>
            <w:color w:val="0A3A8C"/>
            <w:u w:val="single"/>
          </w:rPr>
          <w:t xml:space="preserve">§ 33a</w:t>
        </w:r>
      </w:hyperlink>
      <w:r>
        <w:t xml:space="preserve"> Abs. 1 Nr. 2 am Tag ihrer tatsächlichen Einbringung auf Grund neuer oder neu bekannt gewordener Umstände erheblich niedriger ist als der von dem Sachverständigen angenommene Wert, nicht bekannt geworden sind.</w:t>
      </w:r>
    </w:p>
    <w:p>
      <w:r>
        <w:t>(3) Der Anmeldung sind beizufügen:</w:t>
      </w:r>
    </w:p>
    <w:p>
      <w:pPr>
        <w:tabs>
          <w:tab w:pos="567" w:val="left"/>
        </w:tabs>
        <w:ind w:left="567" w:hanging="567"/>
      </w:pPr>
      <w:r>
        <w:t>1.</w:t>
      </w:r>
      <w:r>
        <w:tab/>
      </w:r>
      <w:r>
        <w:t>Unterlagen über die Ermittlung des gewichteten Durchschnittspreises, zu dem die einzubringenden Wertpapiere oder Geldmarktinstrumente während der letzten drei Monate vor dem Tag ihrer tatsächlichen Einbringung auf einem organisierten Markt gehandelt worden sind,</w:t>
      </w:r>
    </w:p>
    <w:p>
      <w:pPr>
        <w:tabs>
          <w:tab w:pos="567" w:val="left"/>
        </w:tabs>
        <w:ind w:left="567" w:hanging="567"/>
      </w:pPr>
      <w:r>
        <w:t>2.</w:t>
      </w:r>
      <w:r>
        <w:tab/>
      </w:r>
      <w:r>
        <w:t xml:space="preserve">jedes Sachverständigengutachten, auf das sich die Bewertung in den Fällen des </w:t>
      </w:r>
      <w:hyperlink w:anchor="b37" w:history="1">
        <w:r>
          <w:rPr>
            <w:color w:val="0A3A8C"/>
            <w:u w:val="single"/>
          </w:rPr>
          <w:t xml:space="preserve">§ 33a</w:t>
        </w:r>
      </w:hyperlink>
      <w:r>
        <w:t xml:space="preserve"> Abs. 1 Nr. 2 stützt.</w:t>
      </w:r>
    </w:p>
    <w:p>
      <w:pPr>
        <w:pStyle w:val="Heading3"/>
      </w:pPr>
      <w:bookmarkStart w:id="45" w:name="b44"/>
      <w:r>
        <w:t>§ 38 Prüfung durch das Gericht</w:t>
      </w:r>
      <w:r>
        <w:t xml:space="preserve"> </w:t>
      </w:r>
      <w:r>
        <w:rPr>
          <w:rStyle w:val="Suchmarke"/>
        </w:rPr>
        <w:t>#38#</w:t>
      </w:r>
      <w:bookmarkEnd w:id="45"/>
    </w:p>
    <w:p>
      <w:r>
        <w:t xml:space="preserve">(1) </w:t>
      </w:r>
      <w:r>
        <w:rPr>
          <w:rStyle w:val="Satznummer"/>
        </w:rPr>
        <w:t>1</w:t>
      </w:r>
      <w:r>
        <w:t xml:space="preserve">Das Gericht hat zu prüfen, ob die Gesellschaft ordnungsgemäß errichtet und angemeldet ist. </w:t>
      </w:r>
      <w:r>
        <w:rPr>
          <w:rStyle w:val="Satznummer"/>
        </w:rPr>
        <w:t>2</w:t>
      </w:r>
      <w:r>
        <w:t>Ist dies nicht der Fall, so hat es die Eintragung abzulehnen.</w:t>
      </w:r>
    </w:p>
    <w:p>
      <w:r>
        <w:t xml:space="preserve">(2) </w:t>
      </w:r>
      <w:r>
        <w:rPr>
          <w:rStyle w:val="Satznummer"/>
        </w:rPr>
        <w:t>1</w:t>
      </w:r>
      <w:r>
        <w:t xml:space="preserve">Das Gericht kann die Eintragung auch ablehnen, wenn die Gründungsprüfer erklären oder es offensichtlich ist, daß der Gründungsbericht oder der Prüfungsbericht der Mitglieder des Vorstands und des Aufsichtsrats unrichtig oder unvollständig ist oder den gesetzlichen Vorschriften nicht entspricht. </w:t>
      </w:r>
      <w:r>
        <w:rPr>
          <w:rStyle w:val="Satznummer"/>
        </w:rPr>
        <w:t>2</w:t>
      </w:r>
      <w:r>
        <w:t>Gleiches gilt, wenn die Gründungsprüfer erklären oder das Gericht der Auffassung ist, daß der Wert der Sacheinlagen oder Sachübernahmen nicht unwesentlich hinter dem geringsten Ausgabebetrag der dafür zu gewährenden Aktien oder dem Wert der dafür zu gewährenden Leistungen zurückbleibt.</w:t>
      </w:r>
    </w:p>
    <w:p>
      <w:r>
        <w:t xml:space="preserve">(3) </w:t>
      </w:r>
      <w:r>
        <w:rPr>
          <w:rStyle w:val="Satznummer"/>
        </w:rPr>
        <w:t>1</w:t>
      </w:r>
      <w:r>
        <w:t xml:space="preserve">Enthält die Anmeldung die Erklärung nach </w:t>
      </w:r>
      <w:hyperlink w:anchor="b43" w:history="1">
        <w:r>
          <w:rPr>
            <w:color w:val="0A3A8C"/>
            <w:u w:val="single"/>
          </w:rPr>
          <w:t xml:space="preserve">§ 37a</w:t>
        </w:r>
      </w:hyperlink>
      <w:r>
        <w:t xml:space="preserve"> Abs. 1 Satz 1, hat das Gericht hinsichtlich der Werthaltigkeit der Sacheinlagen oder Sachübernahmen ausschließlich zu prüfen, ob die Voraussetzungen des </w:t>
      </w:r>
      <w:hyperlink w:anchor="b43" w:history="1">
        <w:r>
          <w:rPr>
            <w:color w:val="0A3A8C"/>
            <w:u w:val="single"/>
          </w:rPr>
          <w:t xml:space="preserve">§ 37a</w:t>
        </w:r>
      </w:hyperlink>
      <w:r>
        <w:t xml:space="preserve"> erfüllt sind. </w:t>
      </w:r>
      <w:r>
        <w:rPr>
          <w:rStyle w:val="Satznummer"/>
        </w:rPr>
        <w:t>2</w:t>
      </w:r>
      <w:r>
        <w:t>Lediglich bei einer offenkundigen und erheblichen Überbewertung kann das Gericht die Eintragung ablehnen.</w:t>
      </w:r>
    </w:p>
    <w:p>
      <w:r>
        <w:t>(4) Wegen einer mangelhaften, fehlenden oder nichtigen Bestimmung der Satzung darf das Gericht die Eintragung nach Absatz 1 nur ablehnen, soweit diese Bestimmung, ihr Fehlen oder ihre Nichtigkeit</w:t>
      </w:r>
    </w:p>
    <w:p>
      <w:pPr>
        <w:tabs>
          <w:tab w:pos="567" w:val="left"/>
        </w:tabs>
        <w:ind w:left="567" w:hanging="567"/>
      </w:pPr>
      <w:r>
        <w:t>1.</w:t>
      </w:r>
      <w:r>
        <w:tab/>
      </w:r>
      <w:r>
        <w:t xml:space="preserve">Tatsachen oder Rechtsverhältnisse betrifft, die nach </w:t>
      </w:r>
      <w:hyperlink w:anchor="b26" w:history="1">
        <w:r>
          <w:rPr>
            <w:color w:val="0A3A8C"/>
            <w:u w:val="single"/>
          </w:rPr>
          <w:t xml:space="preserve">§ 23</w:t>
        </w:r>
      </w:hyperlink>
      <w:r>
        <w:t xml:space="preserve"> Abs. 3 oder auf Grund anderer zwingender gesetzlicher Vorschriften in der Satzung bestimmt sein müssen oder die in das Handelsregister einzutragen oder von dem Gericht bekanntzumachen sind,</w:t>
      </w:r>
    </w:p>
    <w:p>
      <w:pPr>
        <w:tabs>
          <w:tab w:pos="567" w:val="left"/>
        </w:tabs>
        <w:ind w:left="567" w:hanging="567"/>
      </w:pPr>
      <w:r>
        <w:t>2.</w:t>
      </w:r>
      <w:r>
        <w:tab/>
      </w:r>
      <w:r>
        <w:t>Vorschriften verletzt, die ausschließlich oder überwiegend zum Schutze der Gläubiger der Gesellschaft oder sonst im öffentlichen Interesse gegeben sind, oder</w:t>
      </w:r>
    </w:p>
    <w:p>
      <w:pPr>
        <w:tabs>
          <w:tab w:pos="567" w:val="left"/>
        </w:tabs>
        <w:ind w:left="567" w:hanging="567"/>
      </w:pPr>
      <w:r>
        <w:t>3.</w:t>
      </w:r>
      <w:r>
        <w:tab/>
      </w:r>
      <w:r>
        <w:t>die Nichtigkeit der Satzung zur Folge hat.</w:t>
      </w:r>
    </w:p>
    <w:p>
      <w:pPr>
        <w:pStyle w:val="Heading3"/>
      </w:pPr>
      <w:bookmarkStart w:id="46" w:name="b45"/>
      <w:r>
        <w:t>§ 39 Inhalt der Eintragung</w:t>
      </w:r>
      <w:r>
        <w:t xml:space="preserve"> </w:t>
      </w:r>
      <w:r>
        <w:rPr>
          <w:rStyle w:val="Suchmarke"/>
        </w:rPr>
        <w:t>#39#</w:t>
      </w:r>
      <w:bookmarkEnd w:id="46"/>
    </w:p>
    <w:p>
      <w:r>
        <w:t xml:space="preserve">(1) </w:t>
      </w:r>
      <w:r>
        <w:rPr>
          <w:rStyle w:val="Satznummer"/>
        </w:rPr>
        <w:t>1</w:t>
      </w:r>
      <w:r>
        <w:t xml:space="preserve">Bei der Eintragung der Gesellschaft sind die Firma und der Sitz der Gesellschaft, eine inländische Geschäftsanschrift, der Gegenstand des Unternehmens, die Höhe des Grundkapitals, der Tag der Feststellung der Satzung und die Vorstandsmitglieder anzugeben. </w:t>
      </w:r>
      <w:r>
        <w:rPr>
          <w:rStyle w:val="Satznummer"/>
        </w:rPr>
        <w:t>2</w:t>
      </w:r>
      <w:r>
        <w:t xml:space="preserve">Wenn eine Person, die für Willenserklärungen und Zustellungen an die Gesellschaft empfangsberechtigt ist, mit einer inländischen Anschrift zur Eintragung in das Handelsregister angemeldet wird, sind auch diese Angaben einzutragen; Dritten gegenüber gilt die Empfangsberechtigung als fortbestehend, bis sie im Handelsregister gelöscht und die Löschung bekannt gemacht worden ist, es sei denn, dass die fehlende Empfangsberechtigung dem Dritten bekannt war. </w:t>
      </w:r>
      <w:r>
        <w:rPr>
          <w:rStyle w:val="Satznummer"/>
        </w:rPr>
        <w:t>3</w:t>
      </w:r>
      <w:r>
        <w:t>Ferner ist einzutragen, welche Vertretungsbefugnis die Vorstandsmitglieder haben.</w:t>
      </w:r>
    </w:p>
    <w:p>
      <w:r>
        <w:t>(2) Enthält die Satzung Bestimmungen über die Dauer der Gesellschaft oder über das genehmigte Kapital, so sind auch diese Bestimmungen einzutragen.</w:t>
      </w:r>
    </w:p>
    <w:p>
      <w:pPr>
        <w:pStyle w:val="Heading3"/>
      </w:pPr>
      <w:bookmarkStart w:id="47" w:name="b46"/>
      <w:r>
        <w:t>§ 40 (weggefallen)</w:t>
      </w:r>
      <w:r>
        <w:t xml:space="preserve"> </w:t>
      </w:r>
      <w:r>
        <w:rPr>
          <w:rStyle w:val="Suchmarke"/>
        </w:rPr>
        <w:t>#40#</w:t>
      </w:r>
      <w:bookmarkEnd w:id="47"/>
    </w:p>
    <w:p>
      <w:r>
        <w:t>-</w:t>
      </w:r>
    </w:p>
    <w:p>
      <w:pPr>
        <w:pStyle w:val="Heading3"/>
      </w:pPr>
      <w:bookmarkStart w:id="48" w:name="b47"/>
      <w:r>
        <w:t>§ 41 Handeln im Namen der Gesellschaft vor der Eintragung. Verbotene Aktienausgabe</w:t>
      </w:r>
      <w:r>
        <w:t xml:space="preserve"> </w:t>
      </w:r>
      <w:r>
        <w:rPr>
          <w:rStyle w:val="Suchmarke"/>
        </w:rPr>
        <w:t>#41#</w:t>
      </w:r>
      <w:bookmarkEnd w:id="48"/>
    </w:p>
    <w:p>
      <w:r>
        <w:t xml:space="preserve">(1) </w:t>
      </w:r>
      <w:r>
        <w:rPr>
          <w:rStyle w:val="Satznummer"/>
        </w:rPr>
        <w:t>1</w:t>
      </w:r>
      <w:r>
        <w:t xml:space="preserve">Vor der Eintragung in das Handelsregister besteht die Aktiengesellschaft als solche nicht. </w:t>
      </w:r>
      <w:r>
        <w:rPr>
          <w:rStyle w:val="Satznummer"/>
        </w:rPr>
        <w:t>2</w:t>
      </w:r>
      <w:r>
        <w:t>Wer vor der Eintragung der Gesellschaft in ihrem Namen handelt, haftet persönlich; handeln mehrere, so haften sie als Gesamtschuldner.</w:t>
      </w:r>
    </w:p>
    <w:p>
      <w:r>
        <w:t>(2) Übernimmt die Gesellschaft eine vor ihrer Eintragung in ihrem Namen eingegangene Verpflichtung durch Vertrag mit dem Schuldner in der Weise, daß sie an die Stelle des bisherigen Schuldners tritt, so bedarf es zur Wirksamkeit der Schuldübernahme der Zustimmung des Gläubigers nicht, wenn die Schuldübernahme binnen drei Monaten nach der Eintragung der Gesellschaft vereinbart und dem Gläubiger von der Gesellschaft oder dem Schuldner mitgeteilt wird.</w:t>
      </w:r>
    </w:p>
    <w:p>
      <w:r>
        <w:t>(3) Verpflichtungen aus nicht in der Satzung festgesetzten Verträgen über Sondervorteile, Gründungsaufwand, Sacheinlagen oder Sachübernahmen kann die Gesellschaft nicht übernehmen.</w:t>
      </w:r>
    </w:p>
    <w:p>
      <w:r>
        <w:t xml:space="preserve">(4) </w:t>
      </w:r>
      <w:r>
        <w:rPr>
          <w:rStyle w:val="Satznummer"/>
        </w:rPr>
        <w:t>1</w:t>
      </w:r>
      <w:r>
        <w:t xml:space="preserve">Vor der Eintragung der Gesellschaft können Anteilsrechte nicht übertragen, Aktien oder Zwischenscheine nicht ausgegeben werden. </w:t>
      </w:r>
      <w:r>
        <w:rPr>
          <w:rStyle w:val="Satznummer"/>
        </w:rPr>
        <w:t>2</w:t>
      </w:r>
      <w:r>
        <w:t xml:space="preserve">Die vorher ausgegebenen Aktien oder Zwischenscheine sind nichtig. </w:t>
      </w:r>
      <w:r>
        <w:rPr>
          <w:rStyle w:val="Satznummer"/>
        </w:rPr>
        <w:t>3</w:t>
      </w:r>
      <w:r>
        <w:t>Für den Schaden aus der Ausgabe sind die Ausgeber den Inhabern als Gesamtschuldner verantwortlich.</w:t>
      </w:r>
    </w:p>
    <w:p>
      <w:pPr>
        <w:pStyle w:val="Heading3"/>
      </w:pPr>
      <w:bookmarkStart w:id="49" w:name="b48"/>
      <w:r>
        <w:t>§ 42 Einpersonen-Gesellschaft</w:t>
      </w:r>
      <w:r>
        <w:t xml:space="preserve"> </w:t>
      </w:r>
      <w:r>
        <w:rPr>
          <w:rStyle w:val="Suchmarke"/>
        </w:rPr>
        <w:t>#42#</w:t>
      </w:r>
      <w:bookmarkEnd w:id="49"/>
    </w:p>
    <w:p>
      <w:r>
        <w:t>Gehören alle Aktien allein oder neben der Gesellschaft einem Aktionär, ist unverzüglich eine entsprechende Mitteilung unter Angabe von Name, Vorname, Geburtsdatum und Wohnort des alleinigen Aktionärs zum Handelsregister einzureichen.</w:t>
      </w:r>
    </w:p>
    <w:p>
      <w:pPr>
        <w:pStyle w:val="Heading3"/>
      </w:pPr>
      <w:bookmarkStart w:id="50" w:name="b49"/>
      <w:r>
        <w:t>§§ 43 und 44</w:t>
      </w:r>
      <w:bookmarkEnd w:id="50"/>
    </w:p>
    <w:p>
      <w:pPr>
        <w:pStyle w:val="Heading3"/>
      </w:pPr>
      <w:bookmarkStart w:id="51" w:name="b50"/>
      <w:r>
        <w:t>§ 45 Sitzverlegung</w:t>
      </w:r>
      <w:r>
        <w:t xml:space="preserve"> </w:t>
      </w:r>
      <w:r>
        <w:rPr>
          <w:rStyle w:val="Suchmarke"/>
        </w:rPr>
        <w:t>#45#</w:t>
      </w:r>
      <w:bookmarkEnd w:id="51"/>
    </w:p>
    <w:p>
      <w:r>
        <w:t>(1) Wird der Sitz der Gesellschaft im Inland verlegt, so ist die Verlegung beim Gericht des bisherigen Sitzes anzumelden.</w:t>
      </w:r>
    </w:p>
    <w:p>
      <w:r>
        <w:t xml:space="preserve">(2) </w:t>
      </w:r>
      <w:r>
        <w:rPr>
          <w:rStyle w:val="Satznummer"/>
        </w:rPr>
        <w:t>1</w:t>
      </w:r>
      <w:r>
        <w:t xml:space="preserve">Wird der Sitz aus dem Bezirk des Gerichts des bisherigen Sitzes verlegt, so hat dieses unverzüglich von Amts wegen die Verlegung dem Gericht des neuen Sitzes mitzuteilen. </w:t>
      </w:r>
      <w:r>
        <w:rPr>
          <w:rStyle w:val="Satznummer"/>
        </w:rPr>
        <w:t>2</w:t>
      </w:r>
      <w:r>
        <w:t xml:space="preserve">Der Mitteilung sind die Eintragungen für den bisherigen Sitz sowie die bei dem bisher zuständigen Gericht aufbewahrten Urkunden beizufügen; bei elektronischer Registerführung sind die Eintragungen und die Dokumente elektronisch zu übermitteln. </w:t>
      </w:r>
      <w:r>
        <w:rPr>
          <w:rStyle w:val="Satznummer"/>
        </w:rPr>
        <w:t>3</w:t>
      </w:r>
      <w:r>
        <w:t xml:space="preserve">Das Gericht des neuen Sitzes hat zu prüfen, ob die Verlegung ordnungsgemäß beschlossen und § 30 des Handelsgesetzbuchs beachtet ist. </w:t>
      </w:r>
      <w:r>
        <w:rPr>
          <w:rStyle w:val="Satznummer"/>
        </w:rPr>
        <w:t>4</w:t>
      </w:r>
      <w:r>
        <w:t xml:space="preserve">Ist dies der Fall, so hat es die Sitzverlegung einzutragen und hierbei die ihm mitgeteilten Eintragungen ohne weitere Nachprüfung in sein Handelsregister zu übernehmen. </w:t>
      </w:r>
      <w:r>
        <w:rPr>
          <w:rStyle w:val="Satznummer"/>
        </w:rPr>
        <w:t>5</w:t>
      </w:r>
      <w:r>
        <w:t xml:space="preserve">Mit der Eintragung wird die Sitzverlegung wirksam. </w:t>
      </w:r>
      <w:r>
        <w:rPr>
          <w:rStyle w:val="Satznummer"/>
        </w:rPr>
        <w:t>6</w:t>
      </w:r>
      <w:r>
        <w:t xml:space="preserve">Die Eintragung ist dem Gericht des bisherigen Sitzes mitzuteilen. </w:t>
      </w:r>
      <w:r>
        <w:rPr>
          <w:rStyle w:val="Satznummer"/>
        </w:rPr>
        <w:t>7</w:t>
      </w:r>
      <w:r>
        <w:t>Dieses hat die erforderlichen Löschungen von Amts wegen vorzunehmen.</w:t>
      </w:r>
    </w:p>
    <w:p>
      <w:r>
        <w:t xml:space="preserve">(3) </w:t>
      </w:r>
      <w:r>
        <w:rPr>
          <w:rStyle w:val="Satznummer"/>
        </w:rPr>
        <w:t>1</w:t>
      </w:r>
      <w:r>
        <w:t xml:space="preserve">Wird der Sitz an einen anderen Ort innerhalb des Bezirks des Gerichts des bisherigen Sitzes verlegt, so hat das Gericht zu prüfen, ob die Sitzverlegung ordnungsgemäß beschlossen und § 30 des Handelsgesetzbuchs beachtet ist. </w:t>
      </w:r>
      <w:r>
        <w:rPr>
          <w:rStyle w:val="Satznummer"/>
        </w:rPr>
        <w:t>2</w:t>
      </w:r>
      <w:r>
        <w:t xml:space="preserve">Ist dies der Fall, so hat es die Sitzverlegung einzutragen. </w:t>
      </w:r>
      <w:r>
        <w:rPr>
          <w:rStyle w:val="Satznummer"/>
        </w:rPr>
        <w:t>3</w:t>
      </w:r>
      <w:r>
        <w:t>Mit der Eintragung wird die Sitzverlegung wirksam.</w:t>
      </w:r>
    </w:p>
    <w:p>
      <w:pPr>
        <w:pStyle w:val="Heading3"/>
      </w:pPr>
      <w:bookmarkStart w:id="52" w:name="b51"/>
      <w:r>
        <w:t>§ 46 Verantwortlichkeit der Gründer</w:t>
      </w:r>
      <w:r>
        <w:t xml:space="preserve"> </w:t>
      </w:r>
      <w:r>
        <w:rPr>
          <w:rStyle w:val="Suchmarke"/>
        </w:rPr>
        <w:t>#46#</w:t>
      </w:r>
      <w:bookmarkEnd w:id="52"/>
    </w:p>
    <w:p>
      <w:r>
        <w:t xml:space="preserve">(1) </w:t>
      </w:r>
      <w:r>
        <w:rPr>
          <w:rStyle w:val="Satznummer"/>
        </w:rPr>
        <w:t>1</w:t>
      </w:r>
      <w:r>
        <w:t xml:space="preserve">Die Gründer sind der Gesellschaft als Gesamtschuldner verantwortlich für die Richtigkeit und Vollständigkeit der Angaben, die zum Zwecke der Gründung der Gesellschaft über Übernahme der Aktien, Einzahlung auf die Aktien, Verwendung eingezahlter Beträge, Sondervorteile, Gründungsaufwand, Sacheinlagen und Sachübernahmen gemacht worden sind. </w:t>
      </w:r>
      <w:r>
        <w:rPr>
          <w:rStyle w:val="Satznummer"/>
        </w:rPr>
        <w:t>2</w:t>
      </w:r>
      <w:r>
        <w:t>Sie sind ferner dafür verantwortlich, daß eine zur Annahme von Einzahlungen auf das Grundkapital bestimmte Stelle (</w:t>
      </w:r>
      <w:hyperlink w:anchor="b61" w:history="1">
        <w:r>
          <w:rPr>
            <w:color w:val="0A3A8C"/>
            <w:u w:val="single"/>
          </w:rPr>
          <w:t xml:space="preserve">§ 54</w:t>
        </w:r>
      </w:hyperlink>
      <w:r>
        <w:t xml:space="preserve"> Abs. 3) hierzu geeignet ist und daß die eingezahlten Beträge zur freien Verfügung des Vorstands stehen. </w:t>
      </w:r>
      <w:r>
        <w:rPr>
          <w:rStyle w:val="Satznummer"/>
        </w:rPr>
        <w:t>3</w:t>
      </w:r>
      <w:r>
        <w:t>Sie haben, unbeschadet der Verpflichtung zum Ersatz des sonst entstehenden Schadens, fehlende Einzahlungen zu leisten und eine Vergütung, die nicht unter den Gründungsaufwand aufgenommen ist, zu ersetzen.</w:t>
      </w:r>
    </w:p>
    <w:p>
      <w:r>
        <w:t>(2) Wird die Gesellschaft von Gründern durch Einlagen, Sachübernahmen oder Gründungsaufwand vorsätzlich oder aus grober Fahrlässigkeit geschädigt, so sind ihr alle Gründer als Gesamtschuldner zum Ersatz verpflichtet.</w:t>
      </w:r>
    </w:p>
    <w:p>
      <w:r>
        <w:t>(3) Von diesen Verpflichtungen ist ein Gründer befreit, wenn er die die Ersatzpflicht begründenden Tatsachen weder kannte noch bei Anwendung der Sorgfalt eines ordentlichen Geschäftsmanns kennen mußte.</w:t>
      </w:r>
    </w:p>
    <w:p>
      <w:r>
        <w:t>(4) Entsteht der Gesellschaft ein Ausfall, weil ein Aktionär zahlungsunfähig oder unfähig ist, eine Sacheinlage zu leisten, so sind ihr zum Ersatz als Gesamtschuldner die Gründer verpflichtet, welche die Beteiligung des Aktionärs in Kenntnis seiner Zahlungsunfähigkeit oder Leistungsunfähigkeit angenommen haben.</w:t>
      </w:r>
    </w:p>
    <w:p>
      <w:r>
        <w:t xml:space="preserve">(5) </w:t>
      </w:r>
      <w:r>
        <w:rPr>
          <w:rStyle w:val="Satznummer"/>
        </w:rPr>
        <w:t>1</w:t>
      </w:r>
      <w:r>
        <w:t xml:space="preserve">Neben den Gründern sind in gleicher Weise Personen verantwortlich, für deren Rechnung die Gründer Aktien übernommen haben. </w:t>
      </w:r>
      <w:r>
        <w:rPr>
          <w:rStyle w:val="Satznummer"/>
        </w:rPr>
        <w:t>2</w:t>
      </w:r>
      <w:r>
        <w:t>Sie können sich auf ihre eigene Unkenntnis nicht wegen solcher Umstände berufen, die ein für ihre Rechnung handelnder Gründer kannte oder kennen mußte.</w:t>
      </w:r>
    </w:p>
    <w:p>
      <w:pPr>
        <w:pStyle w:val="Heading3"/>
      </w:pPr>
      <w:bookmarkStart w:id="53" w:name="b52"/>
      <w:r>
        <w:t>§ 47 Verantwortlichkeit anderer Personen neben den Gründern</w:t>
      </w:r>
      <w:r>
        <w:t xml:space="preserve"> </w:t>
      </w:r>
      <w:r>
        <w:rPr>
          <w:rStyle w:val="Suchmarke"/>
        </w:rPr>
        <w:t>#47#</w:t>
      </w:r>
      <w:bookmarkEnd w:id="53"/>
    </w:p>
    <w:p>
      <w:r>
        <w:t>Neben den Gründern und den Personen, für deren Rechnung die Gründer Aktien übernommen haben, ist als Gesamtschuldner der Gesellschaft zum Schadenersatz verpflichtet,</w:t>
      </w:r>
    </w:p>
    <w:p>
      <w:pPr>
        <w:tabs>
          <w:tab w:pos="567" w:val="left"/>
        </w:tabs>
        <w:ind w:left="567" w:hanging="567"/>
      </w:pPr>
      <w:r>
        <w:t>1.</w:t>
      </w:r>
      <w:r>
        <w:tab/>
      </w:r>
      <w:r>
        <w:t>wer bei Empfang einer Vergütung, die entgegen den Vorschriften nicht in den Gründungsaufwand aufgenommen ist, wußte oder nach den Umständen annehmen mußte, daß die Verheimlichung beabsichtigt oder erfolgt war, oder wer zur Verheimlichung wissentlich mitgewirkt hat;</w:t>
      </w:r>
    </w:p>
    <w:p>
      <w:pPr>
        <w:tabs>
          <w:tab w:pos="567" w:val="left"/>
        </w:tabs>
        <w:ind w:left="567" w:hanging="567"/>
      </w:pPr>
      <w:r>
        <w:t>2.</w:t>
      </w:r>
      <w:r>
        <w:tab/>
      </w:r>
      <w:r>
        <w:t>wer im Fall einer vorsätzlichen oder grobfahrlässigen Schädigung der Gesellschaft durch Einlagen oder Sachübernahmen an der Schädigung wissentlich mitgewirkt hat;</w:t>
      </w:r>
    </w:p>
    <w:p>
      <w:pPr>
        <w:tabs>
          <w:tab w:pos="567" w:val="left"/>
        </w:tabs>
        <w:ind w:left="567" w:hanging="567"/>
      </w:pPr>
      <w:r>
        <w:t>3.</w:t>
      </w:r>
      <w:r>
        <w:tab/>
      </w:r>
      <w:r>
        <w:t>wer vor Eintragung der Gesellschaft in das Handelsregister oder in den ersten zwei Jahren nach der Eintragung die Aktien öffentlich ankündigt, um sie in den Verkehr einzuführen, wenn er die Unrichtigkeit oder Unvollständigkeit der Angaben, die zum Zwecke der Gründung der Gesellschaft gemacht worden sind (</w:t>
      </w:r>
      <w:hyperlink w:anchor="b51" w:history="1">
        <w:r>
          <w:rPr>
            <w:color w:val="0A3A8C"/>
            <w:u w:val="single"/>
          </w:rPr>
          <w:t xml:space="preserve">§ 46</w:t>
        </w:r>
      </w:hyperlink>
      <w:r>
        <w:t xml:space="preserve"> Abs. 1), oder die Schädigung der Gesellschaft durch Einlagen oder Sachübernahmen kannte oder bei Anwendung der Sorgfalt eines ordentlichen Geschäftsmanns kennen mußte.</w:t>
      </w:r>
    </w:p>
    <w:p>
      <w:pPr>
        <w:pStyle w:val="Heading3"/>
      </w:pPr>
      <w:bookmarkStart w:id="54" w:name="b53"/>
      <w:r>
        <w:t>§ 48 Verantwortlichkeit des Vorstands und des Aufsichtsrats</w:t>
      </w:r>
      <w:r>
        <w:t xml:space="preserve"> </w:t>
      </w:r>
      <w:r>
        <w:rPr>
          <w:rStyle w:val="Suchmarke"/>
        </w:rPr>
        <w:t>#48#</w:t>
      </w:r>
      <w:bookmarkEnd w:id="54"/>
    </w:p>
    <w:p>
      <w:r>
        <w:rPr>
          <w:rStyle w:val="Satznummer"/>
        </w:rPr>
        <w:t>1</w:t>
      </w:r>
      <w:r>
        <w:t>Mitglieder des Vorstands und des Aufsichtsrats, die bei der Gründung ihre Pflichten verletzen, sind der Gesellschaft zum Ersatz des daraus entstehenden Schadens als Gesamtschuldner verpflichtet; sie sind namentlich dafür verantwortlich, daß eine zur Annahme von Einzahlungen auf die Aktien bestimmte Stelle (</w:t>
      </w:r>
      <w:hyperlink w:anchor="b61" w:history="1">
        <w:r>
          <w:rPr>
            <w:color w:val="0A3A8C"/>
            <w:u w:val="single"/>
          </w:rPr>
          <w:t xml:space="preserve">§ 54</w:t>
        </w:r>
      </w:hyperlink>
      <w:r>
        <w:t xml:space="preserve"> Abs. 3) hierzu geeignet ist, und daß die eingezahlten Beträge zur freien Verfügung des Vorstands stehen. </w:t>
      </w:r>
      <w:r>
        <w:rPr>
          <w:rStyle w:val="Satznummer"/>
        </w:rPr>
        <w:t>2</w:t>
      </w:r>
      <w:r>
        <w:t xml:space="preserve">Für die Sorgfaltspflicht und Verantwortlichkeit der Mitglieder des Vorstands und des Aufsichtsrats bei der Gründung gelten im übrigen </w:t>
      </w:r>
      <w:hyperlink w:anchor="b114" w:history="1">
        <w:r>
          <w:rPr>
            <w:color w:val="0A3A8C"/>
            <w:u w:val="single"/>
          </w:rPr>
          <w:t xml:space="preserve">§§ 93</w:t>
        </w:r>
      </w:hyperlink>
      <w:r>
        <w:t xml:space="preserve"> und </w:t>
      </w:r>
      <w:hyperlink w:anchor="b141" w:history="1">
        <w:r>
          <w:rPr>
            <w:color w:val="0A3A8C"/>
            <w:u w:val="single"/>
          </w:rPr>
          <w:t xml:space="preserve">116</w:t>
        </w:r>
      </w:hyperlink>
      <w:r>
        <w:t xml:space="preserve"> mit Ausnahme von </w:t>
      </w:r>
      <w:hyperlink w:anchor="b114" w:history="1">
        <w:r>
          <w:rPr>
            <w:color w:val="0A3A8C"/>
            <w:u w:val="single"/>
          </w:rPr>
          <w:t xml:space="preserve">§ 93</w:t>
        </w:r>
      </w:hyperlink>
      <w:r>
        <w:t xml:space="preserve"> Abs. 4 Satz 3 und 4 und Abs. 6.</w:t>
      </w:r>
    </w:p>
    <w:p>
      <w:pPr>
        <w:pStyle w:val="Heading3"/>
      </w:pPr>
      <w:bookmarkStart w:id="55" w:name="b54"/>
      <w:r>
        <w:t>§ 49 Verantwortlichkeit der Gründungsprüfer</w:t>
      </w:r>
      <w:r>
        <w:t xml:space="preserve"> </w:t>
      </w:r>
      <w:r>
        <w:rPr>
          <w:rStyle w:val="Suchmarke"/>
        </w:rPr>
        <w:t>#49#</w:t>
      </w:r>
      <w:bookmarkEnd w:id="55"/>
    </w:p>
    <w:p>
      <w:r>
        <w:t>§ 323 Abs. 1 bis 4 des Handelsgesetzbuchs über die Verantwortlichkeit des Abschlußprüfers gilt sinngemäß.</w:t>
      </w:r>
    </w:p>
    <w:p>
      <w:pPr>
        <w:pStyle w:val="Heading3"/>
      </w:pPr>
      <w:bookmarkStart w:id="56" w:name="b55"/>
      <w:r>
        <w:t>§ 50 Verzicht und Vergleich</w:t>
      </w:r>
      <w:r>
        <w:t xml:space="preserve"> </w:t>
      </w:r>
      <w:r>
        <w:rPr>
          <w:rStyle w:val="Suchmarke"/>
        </w:rPr>
        <w:t>#50#</w:t>
      </w:r>
      <w:bookmarkEnd w:id="56"/>
    </w:p>
    <w:p>
      <w:r>
        <w:rPr>
          <w:rStyle w:val="Satznummer"/>
        </w:rPr>
        <w:t>1</w:t>
      </w:r>
      <w:r>
        <w:t>Die Gesellschaft kann auf Ersatzansprüche gegen die Gründer, die neben diesen haftenden Personen und gegen die Mitglieder des Vorstands und des Aufsichtsrats (</w:t>
      </w:r>
      <w:hyperlink w:anchor="b51" w:history="1">
        <w:r>
          <w:rPr>
            <w:color w:val="0A3A8C"/>
            <w:u w:val="single"/>
          </w:rPr>
          <w:t xml:space="preserve">§§ 46</w:t>
        </w:r>
      </w:hyperlink>
      <w:r>
        <w:t xml:space="preserve"> bis </w:t>
      </w:r>
      <w:hyperlink w:anchor="b53" w:history="1">
        <w:r>
          <w:rPr>
            <w:color w:val="0A3A8C"/>
            <w:u w:val="single"/>
          </w:rPr>
          <w:t xml:space="preserve">48</w:t>
        </w:r>
      </w:hyperlink>
      <w:r>
        <w:t xml:space="preserve">) erst drei Jahre nach der Eintragung der Gesellschaft in das Handelsregister und nur dann verzichten oder sich über sie vergleichen, wenn die Hauptversammlung zustimmt und nicht eine Minderheit, deren Anteile zusammen den zehnten Teil des Grundkapitals erreichen, zur Niederschrift Widerspruch erhebt. </w:t>
      </w:r>
      <w:r>
        <w:rPr>
          <w:rStyle w:val="Satznummer"/>
        </w:rPr>
        <w:t>2</w:t>
      </w:r>
      <w:r>
        <w:t>Die zeitliche Beschränkung gilt nicht, wenn der Ersatzpflichtige zahlungsunfähig ist und sich zur Abwendung des Insolvenzverfahrens mit seinen Gläubigern vergleicht oder wenn die Ersatzpflicht in einem Insolvenzplan geregelt wird.</w:t>
      </w:r>
    </w:p>
    <w:p>
      <w:pPr>
        <w:pStyle w:val="Heading3"/>
      </w:pPr>
      <w:bookmarkStart w:id="57" w:name="b56"/>
      <w:r>
        <w:t>§ 51 Verjährung der Ersatzansprüche</w:t>
      </w:r>
      <w:r>
        <w:t xml:space="preserve"> </w:t>
      </w:r>
      <w:r>
        <w:rPr>
          <w:rStyle w:val="Suchmarke"/>
        </w:rPr>
        <w:t>#51#</w:t>
      </w:r>
      <w:bookmarkEnd w:id="57"/>
    </w:p>
    <w:p>
      <w:r>
        <w:rPr>
          <w:rStyle w:val="Satznummer"/>
        </w:rPr>
        <w:t>1</w:t>
      </w:r>
      <w:r>
        <w:t xml:space="preserve">Ersatzansprüche der Gesellschaft nach den </w:t>
      </w:r>
      <w:hyperlink w:anchor="b51" w:history="1">
        <w:r>
          <w:rPr>
            <w:color w:val="0A3A8C"/>
            <w:u w:val="single"/>
          </w:rPr>
          <w:t xml:space="preserve">§§ 46</w:t>
        </w:r>
      </w:hyperlink>
      <w:r>
        <w:t xml:space="preserve"> bis </w:t>
      </w:r>
      <w:hyperlink w:anchor="b53" w:history="1">
        <w:r>
          <w:rPr>
            <w:color w:val="0A3A8C"/>
            <w:u w:val="single"/>
          </w:rPr>
          <w:t xml:space="preserve">48</w:t>
        </w:r>
      </w:hyperlink>
      <w:r>
        <w:t xml:space="preserve"> verjähren in fünf Jahren. </w:t>
      </w:r>
      <w:r>
        <w:rPr>
          <w:rStyle w:val="Satznummer"/>
        </w:rPr>
        <w:t>2</w:t>
      </w:r>
      <w:r>
        <w:t>Die Verjährung beginnt mit der Eintragung der Gesellschaft in das Handelsregister oder, wenn die zum Ersatz verpflichtende Handlung später begangen worden ist, mit der Vornahme der Handlung.</w:t>
      </w:r>
    </w:p>
    <w:p>
      <w:pPr>
        <w:pStyle w:val="Heading3"/>
      </w:pPr>
      <w:bookmarkStart w:id="58" w:name="b57"/>
      <w:r>
        <w:t>§ 52 Nachgründung</w:t>
      </w:r>
      <w:r>
        <w:t xml:space="preserve"> </w:t>
      </w:r>
      <w:r>
        <w:rPr>
          <w:rStyle w:val="Suchmarke"/>
        </w:rPr>
        <w:t>#52#</w:t>
      </w:r>
      <w:bookmarkEnd w:id="58"/>
    </w:p>
    <w:p>
      <w:r>
        <w:t xml:space="preserve">(1) </w:t>
      </w:r>
      <w:r>
        <w:rPr>
          <w:rStyle w:val="Satznummer"/>
        </w:rPr>
        <w:t>1</w:t>
      </w:r>
      <w:r>
        <w:t xml:space="preserve">Verträge der Gesellschaft mit Gründern oder mit mehr als 10 vom Hundert des Grundkapitals an der Gesellschaft beteiligten Aktionären, nach denen sie vorhandene oder herzustellende Anlagen oder andere Vermögensgegenstände für eine den zehnten Teil des Grundkapitals übersteigende Vergütung erwerben soll, und die in den ersten zwei Jahren seit der Eintragung der Gesellschaft in das Handelsregister geschlossen werden, werden nur mit Zustimmung der Hauptversammlung und durch Eintragung in das Handelsregister wirksam. </w:t>
      </w:r>
      <w:r>
        <w:rPr>
          <w:rStyle w:val="Satznummer"/>
        </w:rPr>
        <w:t>2</w:t>
      </w:r>
      <w:r>
        <w:t>Ohne die Zustimmung der Hauptversammlung oder die Eintragung im Handelsregister sind auch die Rechtshandlungen zu ihrer Ausführung unwirksam.</w:t>
      </w:r>
    </w:p>
    <w:p>
      <w:r>
        <w:t xml:space="preserve">(2) </w:t>
      </w:r>
      <w:r>
        <w:rPr>
          <w:rStyle w:val="Satznummer"/>
        </w:rPr>
        <w:t>1</w:t>
      </w:r>
      <w:r>
        <w:t xml:space="preserve">Ein Vertrag nach Absatz 1 bedarf der schriftlichen Form, soweit nicht eine andere Form vorgeschrieben ist. </w:t>
      </w:r>
      <w:r>
        <w:rPr>
          <w:rStyle w:val="Satznummer"/>
        </w:rPr>
        <w:t>2</w:t>
      </w:r>
      <w:r>
        <w:t xml:space="preserve">Er ist von der Einberufung der Hauptversammlung an, die über die Zustimmung beschließen soll, in dem Geschäftsraum der Gesellschaft zur Einsicht der Aktionäre auszulegen. </w:t>
      </w:r>
      <w:r>
        <w:rPr>
          <w:rStyle w:val="Satznummer"/>
        </w:rPr>
        <w:t>3</w:t>
      </w:r>
      <w:r>
        <w:t xml:space="preserve">Auf Verlangen ist jedem Aktionär unverzüglich eine Abschrift zu erteilen. </w:t>
      </w:r>
      <w:r>
        <w:rPr>
          <w:rStyle w:val="Satznummer"/>
        </w:rPr>
        <w:t>4</w:t>
      </w:r>
      <w:r>
        <w:t xml:space="preserve">Die Verpflichtungen nach den Sätzen 2 und 3 entfallen, wenn der Vertrag für denselben Zeitraum über die Internetseite der Gesellschaft zugänglich ist. </w:t>
      </w:r>
      <w:r>
        <w:rPr>
          <w:rStyle w:val="Satznummer"/>
        </w:rPr>
        <w:t>5</w:t>
      </w:r>
      <w:r>
        <w:t xml:space="preserve">In der Hauptversammlung ist der Vertrag zugänglich zu machen. </w:t>
      </w:r>
      <w:r>
        <w:rPr>
          <w:rStyle w:val="Satznummer"/>
        </w:rPr>
        <w:t>6</w:t>
      </w:r>
      <w:r>
        <w:t xml:space="preserve">Der Vorstand hat ihn zu Beginn der Verhandlung zu erläutern. </w:t>
      </w:r>
      <w:r>
        <w:rPr>
          <w:rStyle w:val="Satznummer"/>
        </w:rPr>
        <w:t>7</w:t>
      </w:r>
      <w:r>
        <w:t>Der Niederschrift ist er als Anlage beizufügen.</w:t>
      </w:r>
    </w:p>
    <w:p>
      <w:r>
        <w:t xml:space="preserve">(3) </w:t>
      </w:r>
      <w:r>
        <w:rPr>
          <w:rStyle w:val="Satznummer"/>
        </w:rPr>
        <w:t>1</w:t>
      </w:r>
      <w:r>
        <w:t xml:space="preserve">Vor der Beschlußfassung der Hauptversammlung hat der Aufsichtsrat den Vertrag zu prüfen und einen schriftlichen Bericht zu erstatten (Nachgründungsbericht). </w:t>
      </w:r>
      <w:r>
        <w:rPr>
          <w:rStyle w:val="Satznummer"/>
        </w:rPr>
        <w:t>2</w:t>
      </w:r>
      <w:r>
        <w:t xml:space="preserve">Für den Nachgründungsbericht gilt sinngemäß </w:t>
      </w:r>
      <w:hyperlink w:anchor="b35" w:history="1">
        <w:r>
          <w:rPr>
            <w:color w:val="0A3A8C"/>
            <w:u w:val="single"/>
          </w:rPr>
          <w:t xml:space="preserve">§ 32</w:t>
        </w:r>
      </w:hyperlink>
      <w:r>
        <w:t xml:space="preserve"> Abs. 2 und 3 über den Gründungsbericht.</w:t>
      </w:r>
    </w:p>
    <w:p>
      <w:r>
        <w:t xml:space="preserve">(4) </w:t>
      </w:r>
      <w:r>
        <w:rPr>
          <w:rStyle w:val="Satznummer"/>
        </w:rPr>
        <w:t>1</w:t>
      </w:r>
      <w:r>
        <w:t xml:space="preserve">Außerdem hat vor der Beschlußfassung eine Prüfung durch einen oder mehrere Gründungsprüfer stattzufinden. </w:t>
      </w:r>
      <w:r>
        <w:rPr>
          <w:rStyle w:val="Satznummer"/>
        </w:rPr>
        <w:t>2</w:t>
      </w:r>
      <w:hyperlink w:anchor="b36" w:history="1">
        <w:r>
          <w:rPr>
            <w:color w:val="0A3A8C"/>
            <w:u w:val="single"/>
          </w:rPr>
          <w:t xml:space="preserve">§ 33</w:t>
        </w:r>
      </w:hyperlink>
      <w:r>
        <w:t xml:space="preserve"> Abs. 3 bis 5, </w:t>
      </w:r>
      <w:hyperlink w:anchor="b38" w:history="1">
        <w:r>
          <w:rPr>
            <w:color w:val="0A3A8C"/>
            <w:u w:val="single"/>
          </w:rPr>
          <w:t xml:space="preserve">§§ 34</w:t>
        </w:r>
      </w:hyperlink>
      <w:r>
        <w:t xml:space="preserve">, </w:t>
      </w:r>
      <w:hyperlink w:anchor="b39" w:history="1">
        <w:r>
          <w:rPr>
            <w:color w:val="0A3A8C"/>
            <w:u w:val="single"/>
          </w:rPr>
          <w:t xml:space="preserve">35</w:t>
        </w:r>
      </w:hyperlink>
      <w:r>
        <w:t xml:space="preserve"> über die Gründungsprüfung gelten sinngemäß. </w:t>
      </w:r>
      <w:r>
        <w:rPr>
          <w:rStyle w:val="Satznummer"/>
        </w:rPr>
        <w:t>3</w:t>
      </w:r>
      <w:r>
        <w:t xml:space="preserve">Unter den Voraussetzungen des </w:t>
      </w:r>
      <w:hyperlink w:anchor="b37" w:history="1">
        <w:r>
          <w:rPr>
            <w:color w:val="0A3A8C"/>
            <w:u w:val="single"/>
          </w:rPr>
          <w:t xml:space="preserve">§ 33a</w:t>
        </w:r>
      </w:hyperlink>
      <w:r>
        <w:t xml:space="preserve"> kann von einer Prüfung durch Gründungsprüfer abgesehen werden.</w:t>
      </w:r>
    </w:p>
    <w:p>
      <w:r>
        <w:t xml:space="preserve">(5) </w:t>
      </w:r>
      <w:r>
        <w:rPr>
          <w:rStyle w:val="Satznummer"/>
        </w:rPr>
        <w:t>1</w:t>
      </w:r>
      <w:r>
        <w:t xml:space="preserve">Der Beschluß der Hauptversammlung bedarf einer Mehrheit, die mindestens drei Viertel des bei der Beschlußfassung vertretenen Grundkapitals umfaßt. </w:t>
      </w:r>
      <w:r>
        <w:rPr>
          <w:rStyle w:val="Satznummer"/>
        </w:rPr>
        <w:t>2</w:t>
      </w:r>
      <w:r>
        <w:t xml:space="preserve">Wird der Vertrag im ersten Jahr nach der Eintragung der Gesellschaft in das Handelsregister geschlossen, so müssen außerdem die Anteile der zustimmenden Mehrheit mindestens ein Viertel des gesamten Grundkapitals erreichen. </w:t>
      </w:r>
      <w:r>
        <w:rPr>
          <w:rStyle w:val="Satznummer"/>
        </w:rPr>
        <w:t>3</w:t>
      </w:r>
      <w:r>
        <w:t>Die Satzung kann an Stelle dieser Mehrheiten größere Kapitalmehrheiten und weitere Erfordernisse bestimmen.</w:t>
      </w:r>
    </w:p>
    <w:p>
      <w:r>
        <w:t xml:space="preserve">(6) </w:t>
      </w:r>
      <w:r>
        <w:rPr>
          <w:rStyle w:val="Satznummer"/>
        </w:rPr>
        <w:t>1</w:t>
      </w:r>
      <w:r>
        <w:t xml:space="preserve">Nach Zustimmung der Hauptversammlung hat der Vorstand den Vertrag zur Eintragung in das Handelsregister anzumelden. </w:t>
      </w:r>
      <w:r>
        <w:rPr>
          <w:rStyle w:val="Satznummer"/>
        </w:rPr>
        <w:t>2</w:t>
      </w:r>
      <w:r>
        <w:t xml:space="preserve">Der Anmeldung ist der Vertrag mit dem Nachgründungsbericht und dem Bericht der Gründungsprüfer mit den urkundlichen Unterlagen beizufügen. </w:t>
      </w:r>
      <w:r>
        <w:rPr>
          <w:rStyle w:val="Satznummer"/>
        </w:rPr>
        <w:t>3</w:t>
      </w:r>
      <w:r>
        <w:t xml:space="preserve">Wird nach Absatz 4 Satz 3 von einer externen Gründungsprüfung abgesehen, gilt </w:t>
      </w:r>
      <w:hyperlink w:anchor="b43" w:history="1">
        <w:r>
          <w:rPr>
            <w:color w:val="0A3A8C"/>
            <w:u w:val="single"/>
          </w:rPr>
          <w:t xml:space="preserve">§ 37a</w:t>
        </w:r>
      </w:hyperlink>
      <w:r>
        <w:t xml:space="preserve"> entsprechend.</w:t>
      </w:r>
    </w:p>
    <w:p>
      <w:r>
        <w:t xml:space="preserve">(7) </w:t>
      </w:r>
      <w:r>
        <w:rPr>
          <w:rStyle w:val="Satznummer"/>
        </w:rPr>
        <w:t>1</w:t>
      </w:r>
      <w:r>
        <w:t xml:space="preserve">Bestehen gegen die Eintragung Bedenken, weil die Gründungsprüfer erklären oder weil es offensichtlich ist, daß der Nachgründungsbericht unrichtig oder unvollständig ist oder den gesetzlichen Vorschriften nicht entspricht oder daß die für die zu erwerbenden Vermögensgegenstände gewährte Vergütung unangemessen hoch ist, so kann das Gericht die Eintragung ablehnen. </w:t>
      </w:r>
      <w:r>
        <w:rPr>
          <w:rStyle w:val="Satznummer"/>
        </w:rPr>
        <w:t>2</w:t>
      </w:r>
      <w:r>
        <w:t xml:space="preserve">Enthält die Anmeldung die Erklärung nach </w:t>
      </w:r>
      <w:hyperlink w:anchor="b43" w:history="1">
        <w:r>
          <w:rPr>
            <w:color w:val="0A3A8C"/>
            <w:u w:val="single"/>
          </w:rPr>
          <w:t xml:space="preserve">§ 37a</w:t>
        </w:r>
      </w:hyperlink>
      <w:r>
        <w:t xml:space="preserve"> Abs. 1 Satz 1, gilt </w:t>
      </w:r>
      <w:hyperlink w:anchor="b44" w:history="1">
        <w:r>
          <w:rPr>
            <w:color w:val="0A3A8C"/>
            <w:u w:val="single"/>
          </w:rPr>
          <w:t xml:space="preserve">§ 38</w:t>
        </w:r>
      </w:hyperlink>
      <w:r>
        <w:t xml:space="preserve"> Abs. 3 entsprechend.</w:t>
      </w:r>
    </w:p>
    <w:p>
      <w:r>
        <w:t>(8) Einzutragen sind der Tag des Vertragsschlusses und der Zustimmung der Hauptversammlung sowie der oder die Vertragspartner der Gesellschaft.</w:t>
      </w:r>
    </w:p>
    <w:p>
      <w:r>
        <w:t>(9) Vorstehende Vorschriften gelten nicht, wenn der Erwerb der Vermögensgegenstände im Rahmen der laufenden Geschäfte der Gesellschaft, in der Zwangsvollstreckung oder an der Börse erfolgt.</w:t>
      </w:r>
    </w:p>
    <w:p>
      <w:r>
        <w:t>(10) (weggefallen)</w:t>
      </w:r>
    </w:p>
    <w:p>
      <w:pPr>
        <w:pStyle w:val="Heading3"/>
      </w:pPr>
      <w:bookmarkStart w:id="59" w:name="b58"/>
      <w:r>
        <w:t>§ 53 Ersatzansprüche bei der Nachgründung</w:t>
      </w:r>
      <w:r>
        <w:t xml:space="preserve"> </w:t>
      </w:r>
      <w:r>
        <w:rPr>
          <w:rStyle w:val="Suchmarke"/>
        </w:rPr>
        <w:t>#53#</w:t>
      </w:r>
      <w:bookmarkEnd w:id="59"/>
    </w:p>
    <w:p>
      <w:r>
        <w:rPr>
          <w:rStyle w:val="Satznummer"/>
        </w:rPr>
        <w:t>1</w:t>
      </w:r>
      <w:r>
        <w:t xml:space="preserve">Für die Nachgründung gelten die </w:t>
      </w:r>
      <w:hyperlink w:anchor="b51" w:history="1">
        <w:r>
          <w:rPr>
            <w:color w:val="0A3A8C"/>
            <w:u w:val="single"/>
          </w:rPr>
          <w:t xml:space="preserve">§§ 46</w:t>
        </w:r>
      </w:hyperlink>
      <w:r>
        <w:t xml:space="preserve">, </w:t>
      </w:r>
      <w:hyperlink w:anchor="b52" w:history="1">
        <w:r>
          <w:rPr>
            <w:color w:val="0A3A8C"/>
            <w:u w:val="single"/>
          </w:rPr>
          <w:t xml:space="preserve">47</w:t>
        </w:r>
      </w:hyperlink>
      <w:r>
        <w:t xml:space="preserve">, </w:t>
      </w:r>
      <w:hyperlink w:anchor="b54" w:history="1">
        <w:r>
          <w:rPr>
            <w:color w:val="0A3A8C"/>
            <w:u w:val="single"/>
          </w:rPr>
          <w:t xml:space="preserve">49</w:t>
        </w:r>
      </w:hyperlink>
      <w:r>
        <w:t xml:space="preserve"> bis </w:t>
      </w:r>
      <w:hyperlink w:anchor="b56" w:history="1">
        <w:r>
          <w:rPr>
            <w:color w:val="0A3A8C"/>
            <w:u w:val="single"/>
          </w:rPr>
          <w:t xml:space="preserve">51</w:t>
        </w:r>
      </w:hyperlink>
      <w:r>
        <w:t xml:space="preserve"> über die Ersatzansprüche der Gesellschaft sinngemäß. </w:t>
      </w:r>
      <w:r>
        <w:rPr>
          <w:rStyle w:val="Satznummer"/>
        </w:rPr>
        <w:t>2</w:t>
      </w:r>
      <w:r>
        <w:t xml:space="preserve">An die Stelle der Gründer treten die Mitglieder des Vorstands und des Aufsichtsrats. </w:t>
      </w:r>
      <w:r>
        <w:rPr>
          <w:rStyle w:val="Satznummer"/>
        </w:rPr>
        <w:t>3</w:t>
      </w:r>
      <w:r>
        <w:t xml:space="preserve">Sie haben die Sorgfalt eines ordentlichen und gewissenhaften Geschäftsleiters anzuwenden. </w:t>
      </w:r>
      <w:r>
        <w:rPr>
          <w:rStyle w:val="Satznummer"/>
        </w:rPr>
        <w:t>4</w:t>
      </w:r>
      <w:r>
        <w:t>Soweit Fristen mit der Eintragung der Gesellschaft in das Handelsregister beginnen, tritt an deren Stelle die Eintragung des Vertrags über die Nachgründung.</w:t>
      </w:r>
    </w:p>
    <w:p>
      <w:pPr>
        <w:pStyle w:val="Heading2"/>
      </w:pPr>
      <w:bookmarkStart w:id="60" w:name="b59"/>
      <w:r>
        <w:t>Dritter Teil Rechtsverhältnisse der Gesellschaft und der Gesellschafter</w:t>
      </w:r>
      <w:bookmarkEnd w:id="60"/>
    </w:p>
    <w:p>
      <w:pPr>
        <w:pStyle w:val="Heading3"/>
      </w:pPr>
      <w:bookmarkStart w:id="61" w:name="b60"/>
      <w:r>
        <w:t>§ 53a Gleichbehandlung der Aktionäre</w:t>
      </w:r>
      <w:r>
        <w:t xml:space="preserve"> </w:t>
      </w:r>
      <w:r>
        <w:rPr>
          <w:rStyle w:val="Suchmarke"/>
        </w:rPr>
        <w:t>#53a#</w:t>
      </w:r>
      <w:bookmarkEnd w:id="61"/>
    </w:p>
    <w:p>
      <w:r>
        <w:t>Aktionäre sind unter gleichen Voraussetzungen gleich zu behandeln.</w:t>
      </w:r>
    </w:p>
    <w:p>
      <w:pPr>
        <w:pStyle w:val="Heading3"/>
      </w:pPr>
      <w:bookmarkStart w:id="62" w:name="b61"/>
      <w:r>
        <w:t>§ 54 Hauptverpflichtung der Aktionäre</w:t>
      </w:r>
      <w:r>
        <w:t xml:space="preserve"> </w:t>
      </w:r>
      <w:r>
        <w:rPr>
          <w:rStyle w:val="Suchmarke"/>
        </w:rPr>
        <w:t>#54#</w:t>
      </w:r>
      <w:bookmarkEnd w:id="62"/>
    </w:p>
    <w:p>
      <w:r>
        <w:t>(1) Die Verpflichtung der Aktionäre zur Leistung der Einlagen wird durch den Ausgabebetrag der Aktien begrenzt.</w:t>
      </w:r>
    </w:p>
    <w:p>
      <w:r>
        <w:t>(2) Soweit nicht in der Satzung Sacheinlagen festgesetzt sind, haben die Aktionäre den Ausgabebetrag der Aktien einzuzahlen.</w:t>
      </w:r>
    </w:p>
    <w:p>
      <w:r>
        <w:t xml:space="preserve">(3) </w:t>
      </w:r>
      <w:r>
        <w:rPr>
          <w:rStyle w:val="Satznummer"/>
        </w:rPr>
        <w:t>1</w:t>
      </w:r>
      <w:r>
        <w:t xml:space="preserve">Der vor der Anmeldung der Gesellschaft eingeforderte Betrag kann nur in gesetzlichen Zahlungsmitteln oder durch Gutschrift auf ein Konto bei einem Kreditinstitut oder einem nach § 53 Abs. 1 Satz 1 oder § 53b Abs. 1 Satz 1 oder Abs. 7 des Gesetzes über das Kreditwesen tätigen Unternehmen der Gesellschaft oder des Vorstands zu seiner freien Verfügung eingezahlt werden. </w:t>
      </w:r>
      <w:r>
        <w:rPr>
          <w:rStyle w:val="Satznummer"/>
        </w:rPr>
        <w:t>2</w:t>
      </w:r>
      <w:r>
        <w:t>Forderungen des Vorstands aus diesen Einzahlungen gelten als Forderungen der Gesellschaft.</w:t>
      </w:r>
    </w:p>
    <w:p>
      <w:r>
        <w:t xml:space="preserve">(4) </w:t>
      </w:r>
      <w:r>
        <w:rPr>
          <w:rStyle w:val="Satznummer"/>
        </w:rPr>
        <w:t>1</w:t>
      </w:r>
      <w:r>
        <w:t xml:space="preserve">Der Anspruch der Gesellschaft auf Leistung der Einlagen verjährt in zehn Jahren von seiner Entstehung an. </w:t>
      </w:r>
      <w:r>
        <w:rPr>
          <w:rStyle w:val="Satznummer"/>
        </w:rPr>
        <w:t>2</w:t>
      </w:r>
      <w:r>
        <w:t>Wird das Insolvenzverfahren über das Vermögen der Gesellschaft eröffnet, so tritt die Verjährung nicht vor Ablauf von sechs Monaten ab dem Zeitpunkt der Eröffnung ein.</w:t>
      </w:r>
    </w:p>
    <w:p>
      <w:pPr>
        <w:pStyle w:val="Heading3"/>
      </w:pPr>
      <w:bookmarkStart w:id="63" w:name="b62"/>
      <w:r>
        <w:t>§ 55 Nebenverpflichtungen der Aktionäre</w:t>
      </w:r>
      <w:r>
        <w:t xml:space="preserve"> </w:t>
      </w:r>
      <w:r>
        <w:rPr>
          <w:rStyle w:val="Suchmarke"/>
        </w:rPr>
        <w:t>#55#</w:t>
      </w:r>
      <w:bookmarkEnd w:id="63"/>
    </w:p>
    <w:p>
      <w:r>
        <w:t xml:space="preserve">(1) </w:t>
      </w:r>
      <w:r>
        <w:rPr>
          <w:rStyle w:val="Satznummer"/>
        </w:rPr>
        <w:t>1</w:t>
      </w:r>
      <w:r>
        <w:t xml:space="preserve">Ist die Übertragung der Aktien an die Zustimmung der Gesellschaft gebunden, so kann die Satzung Aktionären die Verpflichtung auferlegen, neben den Einlagen auf das Grundkapital wiederkehrende, nicht in Geld bestehende Leistungen zu erbringen. </w:t>
      </w:r>
      <w:r>
        <w:rPr>
          <w:rStyle w:val="Satznummer"/>
        </w:rPr>
        <w:t>2</w:t>
      </w:r>
      <w:r>
        <w:t xml:space="preserve">Dabei hat sie zu bestimmen, ob die Leistungen entgeltlich oder unentgeltlich zu erbringen sind. </w:t>
      </w:r>
      <w:r>
        <w:rPr>
          <w:rStyle w:val="Satznummer"/>
        </w:rPr>
        <w:t>3</w:t>
      </w:r>
      <w:r>
        <w:t>Die Verpflichtung und der Umfang der Leistungen sind in den Aktien und Zwischenscheinen anzugeben.</w:t>
      </w:r>
    </w:p>
    <w:p>
      <w:r>
        <w:t>(2) Die Satzung kann Vertragsstrafen für den Fall festsetzen, daß die Verpflichtung nicht oder nicht gehörig erfüllt wird.</w:t>
      </w:r>
    </w:p>
    <w:p>
      <w:pPr>
        <w:pStyle w:val="Heading3"/>
      </w:pPr>
      <w:bookmarkStart w:id="64" w:name="b63"/>
      <w:r>
        <w:t>§ 56 Keine Zeichnung eigener Aktien. Aktienübernahme für Rechnung der Gesellschaft oder durch ein abhängiges oder in Mehrheitsbesitz stehendes Unternehmen</w:t>
      </w:r>
      <w:r>
        <w:t xml:space="preserve"> </w:t>
      </w:r>
      <w:r>
        <w:rPr>
          <w:rStyle w:val="Suchmarke"/>
        </w:rPr>
        <w:t>#56#</w:t>
      </w:r>
      <w:bookmarkEnd w:id="64"/>
    </w:p>
    <w:p>
      <w:r>
        <w:t>(1) Die Gesellschaft darf keine eigenen Aktien zeichnen.</w:t>
      </w:r>
    </w:p>
    <w:p>
      <w:r>
        <w:t xml:space="preserve">(2) </w:t>
      </w:r>
      <w:r>
        <w:rPr>
          <w:rStyle w:val="Satznummer"/>
        </w:rPr>
        <w:t>1</w:t>
      </w:r>
      <w:r>
        <w:t xml:space="preserve">Ein abhängiges Unternehmen darf keine Aktien der herrschenden Gesellschaft, ein in Mehrheitsbesitz stehendes Unternehmen keine Aktien der an ihm mit Mehrheit beteiligten Gesellschaft als Gründer oder Zeichner oder in Ausübung eines bei einer bedingten Kapitalerhöhung eingeräumten Umtausch- oder Bezugsrechts übernehmen. </w:t>
      </w:r>
      <w:r>
        <w:rPr>
          <w:rStyle w:val="Satznummer"/>
        </w:rPr>
        <w:t>2</w:t>
      </w:r>
      <w:r>
        <w:t>Ein Verstoß gegen diese Vorschrift macht die Übernahme nicht unwirksam.</w:t>
      </w:r>
    </w:p>
    <w:p>
      <w:r>
        <w:t xml:space="preserve">(3) </w:t>
      </w:r>
      <w:r>
        <w:rPr>
          <w:rStyle w:val="Satznummer"/>
        </w:rPr>
        <w:t>1</w:t>
      </w:r>
      <w:r>
        <w:t xml:space="preserve">Wer als Gründer oder Zeichner oder in Ausübung eines bei einer bedingten Kapitalerhöhung eingeräumten Umtausch- oder Bezugsrechts eine Aktie für Rechnung der Gesellschaft oder eines abhängigen oder in Mehrheitsbesitz stehenden Unternehmens übernommen hat, kann sich nicht darauf berufen, daß er die Aktie nicht für eigene Rechnung übernommen hat. </w:t>
      </w:r>
      <w:r>
        <w:rPr>
          <w:rStyle w:val="Satznummer"/>
        </w:rPr>
        <w:t>2</w:t>
      </w:r>
      <w:r>
        <w:t xml:space="preserve">Er haftet ohne Rücksicht auf Vereinbarungen mit der Gesellschaft oder dem abhängigen oder in Mehrheitsbesitz stehenden Unternehmen auf die volle Einlage. </w:t>
      </w:r>
      <w:r>
        <w:rPr>
          <w:rStyle w:val="Satznummer"/>
        </w:rPr>
        <w:t>3</w:t>
      </w:r>
      <w:r>
        <w:t>Bevor er die Aktie für eigene Rechnung übernommen hat, stehen ihm keine Rechte aus der Aktie zu.</w:t>
      </w:r>
    </w:p>
    <w:p>
      <w:r>
        <w:t xml:space="preserve">(4) </w:t>
      </w:r>
      <w:r>
        <w:rPr>
          <w:rStyle w:val="Satznummer"/>
        </w:rPr>
        <w:t>1</w:t>
      </w:r>
      <w:r>
        <w:t xml:space="preserve">Werden bei einer Kapitalerhöhung Aktien unter Verletzung der Absätze 1 oder 2 gezeichnet, so haftet auch jedes Vorstandsmitglied der Gesellschaft auf die volle Einlage. </w:t>
      </w:r>
      <w:r>
        <w:rPr>
          <w:rStyle w:val="Satznummer"/>
        </w:rPr>
        <w:t>2</w:t>
      </w:r>
      <w:r>
        <w:t>Dies gilt nicht, wenn das Vorstandsmitglied beweist, daß es kein Verschulden trifft.</w:t>
      </w:r>
    </w:p>
    <w:p>
      <w:pPr>
        <w:pStyle w:val="Heading3"/>
      </w:pPr>
      <w:bookmarkStart w:id="65" w:name="b64"/>
      <w:r>
        <w:t>§ 57 Keine Rückgewähr, keine Verzinsung der Einlagen</w:t>
      </w:r>
      <w:r>
        <w:t xml:space="preserve"> </w:t>
      </w:r>
      <w:r>
        <w:rPr>
          <w:rStyle w:val="Suchmarke"/>
        </w:rPr>
        <w:t>#57#</w:t>
      </w:r>
      <w:bookmarkEnd w:id="65"/>
    </w:p>
    <w:p>
      <w:r>
        <w:t xml:space="preserve">(1) </w:t>
      </w:r>
      <w:r>
        <w:rPr>
          <w:rStyle w:val="Satznummer"/>
        </w:rPr>
        <w:t>1</w:t>
      </w:r>
      <w:r>
        <w:t xml:space="preserve">Den Aktionären dürfen die Einlagen nicht zurückgewährt werden. </w:t>
      </w:r>
      <w:r>
        <w:rPr>
          <w:rStyle w:val="Satznummer"/>
        </w:rPr>
        <w:t>2</w:t>
      </w:r>
      <w:r>
        <w:t xml:space="preserve">Als Rückgewähr gilt nicht die Zahlung des Erwerbspreises beim zulässigen Erwerb eigener Aktien. </w:t>
      </w:r>
      <w:r>
        <w:rPr>
          <w:rStyle w:val="Satznummer"/>
        </w:rPr>
        <w:t>3</w:t>
      </w:r>
      <w:r>
        <w:t>Satz 1 gilt nicht bei Leistungen, die bei Bestehen eines Beherrschungs- oder Gewinnabführungsvertrags (</w:t>
      </w:r>
      <w:hyperlink w:anchor="b371" w:history="1">
        <w:r>
          <w:rPr>
            <w:color w:val="0A3A8C"/>
            <w:u w:val="single"/>
          </w:rPr>
          <w:t xml:space="preserve">§ 291</w:t>
        </w:r>
      </w:hyperlink>
      <w:r>
        <w:t xml:space="preserve">) erfolgen oder durch einen vollwertigen Gegenleistungs- oder Rückgewähranspruch gegen den Aktionär gedeckt sind. </w:t>
      </w:r>
      <w:r>
        <w:rPr>
          <w:rStyle w:val="Satznummer"/>
        </w:rPr>
        <w:t>4</w:t>
      </w:r>
      <w:r>
        <w:t>Satz 1 ist zudem nicht anzuwenden auf die Rückgewähr eines Aktionärsdarlehens und Leistungen auf Forderungen aus Rechtshandlungen, die einem Aktionärsdarlehen wirtschaftlich entsprechen.</w:t>
      </w:r>
    </w:p>
    <w:p>
      <w:r>
        <w:t>(2) Den Aktionären dürfen Zinsen weder zugesagt noch ausgezahlt werden.</w:t>
      </w:r>
    </w:p>
    <w:p>
      <w:r>
        <w:t>(3) Vor Auflösung der Gesellschaft darf unter die Aktionäre nur der Bilanzgewinn verteilt werden.</w:t>
      </w:r>
    </w:p>
    <w:p>
      <w:pPr>
        <w:pStyle w:val="Heading3"/>
      </w:pPr>
      <w:bookmarkStart w:id="66" w:name="b65"/>
      <w:r>
        <w:t>§ 58 Verwendung des Jahresüberschusses</w:t>
      </w:r>
      <w:r>
        <w:t xml:space="preserve"> </w:t>
      </w:r>
      <w:r>
        <w:rPr>
          <w:rStyle w:val="Suchmarke"/>
        </w:rPr>
        <w:t>#58#</w:t>
      </w:r>
      <w:bookmarkEnd w:id="66"/>
    </w:p>
    <w:p>
      <w:r>
        <w:t xml:space="preserve">(1) </w:t>
      </w:r>
      <w:r>
        <w:rPr>
          <w:rStyle w:val="Satznummer"/>
        </w:rPr>
        <w:t>1</w:t>
      </w:r>
      <w:r>
        <w:t xml:space="preserve">Die Satzung kann nur für den Fall, daß die Hauptversammlung den Jahresabschluß feststellt, bestimmen, daß Beträge aus dem Jahresüberschuß in andere Gewinnrücklagen einzustellen sind. </w:t>
      </w:r>
      <w:r>
        <w:rPr>
          <w:rStyle w:val="Satznummer"/>
        </w:rPr>
        <w:t>2</w:t>
      </w:r>
      <w:r>
        <w:t xml:space="preserve">Auf Grund einer solchen Satzungsbestimmung kann höchstens die Hälfte des Jahresüberschusses in andere Gewinnrücklagen eingestellt werden. </w:t>
      </w:r>
      <w:r>
        <w:rPr>
          <w:rStyle w:val="Satznummer"/>
        </w:rPr>
        <w:t>3</w:t>
      </w:r>
      <w:r>
        <w:t>Dabei sind Beträge, die in die gesetzliche Rücklage einzustellen sind, und ein Verlustvortrag vorab vom Jahresüberschuß abzuziehen.</w:t>
      </w:r>
    </w:p>
    <w:p>
      <w:r>
        <w:t xml:space="preserve">(2) </w:t>
      </w:r>
      <w:r>
        <w:rPr>
          <w:rStyle w:val="Satznummer"/>
        </w:rPr>
        <w:t>1</w:t>
      </w:r>
      <w:r>
        <w:t xml:space="preserve">Stellen Vorstand und Aufsichtsrat den Jahresabschluß fest, so können sie einen Teil des Jahresüberschusses, höchstens jedoch die Hälfte, in andere Gewinnrücklagen einstellen. </w:t>
      </w:r>
      <w:r>
        <w:rPr>
          <w:rStyle w:val="Satznummer"/>
        </w:rPr>
        <w:t>2</w:t>
      </w:r>
      <w:r>
        <w:t xml:space="preserve">Die Satzung kann Vorstand und Aufsichtsrat zur Einstellung eines größeren oder kleineren Teils des Jahresüberschusses ermächtigen. </w:t>
      </w:r>
      <w:r>
        <w:rPr>
          <w:rStyle w:val="Satznummer"/>
        </w:rPr>
        <w:t>3</w:t>
      </w:r>
      <w:r>
        <w:t xml:space="preserve">Auf Grund einer solchen Satzungsbestimmung dürfen Vorstand und Aufsichtsrat keine Beträge in andere Gewinnrücklagen einstellen, wenn die andere Gewinnrücklagen die Hälfte des Grundkapitals übersteigen oder soweit sie nach der Einstellung die Hälfte übersteigen würden. </w:t>
      </w:r>
      <w:r>
        <w:rPr>
          <w:rStyle w:val="Satznummer"/>
        </w:rPr>
        <w:t>4</w:t>
      </w:r>
      <w:r>
        <w:t>Absatz 1 Satz 3 gilt sinngemäß.</w:t>
      </w:r>
    </w:p>
    <w:p>
      <w:r>
        <w:t xml:space="preserve">(2a) </w:t>
      </w:r>
      <w:r>
        <w:rPr>
          <w:rStyle w:val="Satznummer"/>
        </w:rPr>
        <w:t>1</w:t>
      </w:r>
      <w:r>
        <w:t xml:space="preserve">Unbeschadet der Absätze 1 und 2 können Vorstand und Aufsichtsrat den Eigenkapitalanteil von Wertaufholungen bei Vermögensgegenständen des Anlage- und Umlaufvermögens in andere Gewinnrücklagen einstellen. </w:t>
      </w:r>
      <w:r>
        <w:rPr>
          <w:rStyle w:val="Satznummer"/>
        </w:rPr>
        <w:t>2</w:t>
      </w:r>
      <w:r>
        <w:t>Der Betrag dieser Rücklagen ist in der Bilanz gesondert auszuweisen; er kann auch im Anhang angegeben werden.</w:t>
      </w:r>
    </w:p>
    <w:p>
      <w:r>
        <w:t xml:space="preserve">(3) </w:t>
      </w:r>
      <w:r>
        <w:rPr>
          <w:rStyle w:val="Satznummer"/>
        </w:rPr>
        <w:t>1</w:t>
      </w:r>
      <w:r>
        <w:t xml:space="preserve">Die Hauptversammlung kann im Beschluß über die Verwendung des Bilanzgewinns weitere Beträge in Gewinnrücklagen einstellen oder als Gewinn vortragen. </w:t>
      </w:r>
      <w:r>
        <w:rPr>
          <w:rStyle w:val="Satznummer"/>
        </w:rPr>
        <w:t>2</w:t>
      </w:r>
      <w:r>
        <w:t>Sie kann ferner, wenn die Satzung sie hierzu ermächtigt, auch eine andere Verwendung als nach Satz 1 oder als die Verteilung unter die Aktionäre beschließen.</w:t>
      </w:r>
    </w:p>
    <w:p>
      <w:r>
        <w:t xml:space="preserve">(4) </w:t>
      </w:r>
      <w:r>
        <w:rPr>
          <w:rStyle w:val="Satznummer"/>
        </w:rPr>
        <w:t>1</w:t>
      </w:r>
      <w:r>
        <w:t xml:space="preserve">Die Aktionäre haben Anspruch auf den Bilanzgewinn, soweit er nicht nach Gesetz oder Satzung, durch Hauptversammlungsbeschluß nach Absatz 3 oder als zusätzlicher Aufwand auf Grund des Gewinnverwendungsbeschlusses von der Verteilung unter die Aktionäre ausgeschlossen ist. </w:t>
      </w:r>
      <w:r>
        <w:rPr>
          <w:rStyle w:val="Satznummer"/>
        </w:rPr>
        <w:t>2</w:t>
      </w:r>
      <w:r>
        <w:t xml:space="preserve">Der Anspruch ist am dritten auf den Hauptversammlungsbeschluss folgenden Geschäftstag fällig. </w:t>
      </w:r>
      <w:r>
        <w:rPr>
          <w:rStyle w:val="Satznummer"/>
        </w:rPr>
        <w:t>3</w:t>
      </w:r>
      <w:r>
        <w:t>In dem Hauptversammlungsbeschluss oder in der Satzung kann eine spätere Fälligkeit festgelegt werden.</w:t>
      </w:r>
    </w:p>
    <w:p>
      <w:r>
        <w:t>(5) Sofern die Satzung dies vorsieht, kann die Hauptversammlung auch eine Sachausschüttung beschließen.</w:t>
      </w:r>
    </w:p>
    <w:p>
      <w:pPr>
        <w:pStyle w:val="Heading3"/>
      </w:pPr>
      <w:bookmarkStart w:id="67" w:name="b66"/>
      <w:r>
        <w:t>§ 59 Abschlagszahlung auf den Bilanzgewinn</w:t>
      </w:r>
      <w:r>
        <w:t xml:space="preserve"> </w:t>
      </w:r>
      <w:r>
        <w:rPr>
          <w:rStyle w:val="Suchmarke"/>
        </w:rPr>
        <w:t>#59#</w:t>
      </w:r>
      <w:bookmarkEnd w:id="67"/>
    </w:p>
    <w:p>
      <w:r>
        <w:t>(1) Die Satzung kann den Vorstand ermächtigen, nach Ablauf des Geschäftsjahrs auf den voraussichtlichen Bilanzgewinn einen Abschlag an die Aktionäre zu zahlen.</w:t>
      </w:r>
    </w:p>
    <w:p>
      <w:r>
        <w:t xml:space="preserve">(2) </w:t>
      </w:r>
      <w:r>
        <w:rPr>
          <w:rStyle w:val="Satznummer"/>
        </w:rPr>
        <w:t>1</w:t>
      </w:r>
      <w:r>
        <w:t xml:space="preserve">Der Vorstand darf einen Abschlag nur zahlen, wenn ein vorläufiger Abschluß für das vergangene Geschäftsjahr einen Jahresüberschuß ergibt. </w:t>
      </w:r>
      <w:r>
        <w:rPr>
          <w:rStyle w:val="Satznummer"/>
        </w:rPr>
        <w:t>2</w:t>
      </w:r>
      <w:r>
        <w:t xml:space="preserve">Als Abschlag darf höchstens die Hälfte des Betrags gezahlt werden, der von dem Jahresüberschuß nach Abzug der Beträge verbleibt, die nach Gesetz oder Satzung in Gewinnrücklagen einzustellen sind. </w:t>
      </w:r>
      <w:r>
        <w:rPr>
          <w:rStyle w:val="Satznummer"/>
        </w:rPr>
        <w:t>3</w:t>
      </w:r>
      <w:r>
        <w:t>Außerdem darf der Abschlag nicht die Hälfte des vorjährigen Bilanzgewinns übersteigen.</w:t>
      </w:r>
    </w:p>
    <w:p>
      <w:r>
        <w:t>(3) Die Zahlung eines Abschlags bedarf der Zustimmung des Aufsichtsrats.</w:t>
      </w:r>
    </w:p>
    <w:p>
      <w:pPr>
        <w:pStyle w:val="Heading3"/>
      </w:pPr>
      <w:bookmarkStart w:id="68" w:name="b67"/>
      <w:r>
        <w:t>§ 60 Gewinnverteilung</w:t>
      </w:r>
      <w:r>
        <w:t xml:space="preserve"> </w:t>
      </w:r>
      <w:r>
        <w:rPr>
          <w:rStyle w:val="Suchmarke"/>
        </w:rPr>
        <w:t>#60#</w:t>
      </w:r>
      <w:bookmarkEnd w:id="68"/>
    </w:p>
    <w:p>
      <w:r>
        <w:t>(1) Die Anteile der Aktionäre am Gewinn bestimmen sich nach ihren Anteilen am Grundkapital.</w:t>
      </w:r>
    </w:p>
    <w:p>
      <w:r>
        <w:t xml:space="preserve">(2) </w:t>
      </w:r>
      <w:r>
        <w:rPr>
          <w:rStyle w:val="Satznummer"/>
        </w:rPr>
        <w:t>1</w:t>
      </w:r>
      <w:r>
        <w:t xml:space="preserve">Sind die Einlagen auf das Grundkapital nicht auf alle Aktien in demselben Verhältnis geleistet, so erhalten die Aktionäre aus dem verteilbaren Gewinn vorweg einen Betrag von vier vom Hundert der geleisteten Einlagen. </w:t>
      </w:r>
      <w:r>
        <w:rPr>
          <w:rStyle w:val="Satznummer"/>
        </w:rPr>
        <w:t>2</w:t>
      </w:r>
      <w:r>
        <w:t xml:space="preserve">Reicht der Gewinn dazu nicht aus, so bestimmt sich der Betrag nach einem entsprechend niedrigeren Satz. </w:t>
      </w:r>
      <w:r>
        <w:rPr>
          <w:rStyle w:val="Satznummer"/>
        </w:rPr>
        <w:t>3</w:t>
      </w:r>
      <w:r>
        <w:t>Einlagen, die im Laufe des Geschäftsjahrs geleistet wurden, werden nach dem Verhältnis der Zeit berücksichtigt, die seit der Leistung verstrichen ist.</w:t>
      </w:r>
    </w:p>
    <w:p>
      <w:r>
        <w:t>(3) Die Satzung kann eine andere Art der Gewinnverteilung bestimmen.</w:t>
      </w:r>
    </w:p>
    <w:p>
      <w:pPr>
        <w:pStyle w:val="Heading3"/>
      </w:pPr>
      <w:bookmarkStart w:id="69" w:name="b68"/>
      <w:r>
        <w:t>§ 61 Vergütung von Nebenleistungen</w:t>
      </w:r>
      <w:r>
        <w:t xml:space="preserve"> </w:t>
      </w:r>
      <w:r>
        <w:rPr>
          <w:rStyle w:val="Suchmarke"/>
        </w:rPr>
        <w:t>#61#</w:t>
      </w:r>
      <w:bookmarkEnd w:id="69"/>
    </w:p>
    <w:p>
      <w:r>
        <w:t>Für wiederkehrende Leistungen, zu denen Aktionäre nach der Satzung neben den Einlagen auf das Grundkapital verpflichtet sind, darf eine den Wert der Leistungen nicht übersteigende Vergütung ohne Rücksicht darauf gezahlt werden, ob ein Bilanzgewinn ausgewiesen wird.</w:t>
      </w:r>
    </w:p>
    <w:p>
      <w:pPr>
        <w:pStyle w:val="Heading3"/>
      </w:pPr>
      <w:bookmarkStart w:id="70" w:name="b69"/>
      <w:r>
        <w:t>§ 62 Haftung der Aktionäre beim Empfang verbotener Leistungen</w:t>
      </w:r>
      <w:r>
        <w:t xml:space="preserve"> </w:t>
      </w:r>
      <w:r>
        <w:rPr>
          <w:rStyle w:val="Suchmarke"/>
        </w:rPr>
        <w:t>#62#</w:t>
      </w:r>
      <w:bookmarkEnd w:id="70"/>
    </w:p>
    <w:p>
      <w:r>
        <w:t xml:space="preserve">(1) </w:t>
      </w:r>
      <w:r>
        <w:rPr>
          <w:rStyle w:val="Satznummer"/>
        </w:rPr>
        <w:t>1</w:t>
      </w:r>
      <w:r>
        <w:t xml:space="preserve">Die Aktionäre haben der Gesellschaft Leistungen, die sie entgegen den Vorschriften dieses Gesetzes von ihr empfangen haben, zurückzugewähren. </w:t>
      </w:r>
      <w:r>
        <w:rPr>
          <w:rStyle w:val="Satznummer"/>
        </w:rPr>
        <w:t>2</w:t>
      </w:r>
      <w:r>
        <w:t>Haben sie Beträge als Gewinnanteile bezogen, so besteht die Verpflichtung nur, wenn sie wußten oder infolge von Fahrlässigkeit nicht wußten, daß sie zum Bezug nicht berechtigt waren.</w:t>
      </w:r>
    </w:p>
    <w:p>
      <w:r>
        <w:t xml:space="preserve">(2) </w:t>
      </w:r>
      <w:r>
        <w:rPr>
          <w:rStyle w:val="Satznummer"/>
        </w:rPr>
        <w:t>1</w:t>
      </w:r>
      <w:r>
        <w:t xml:space="preserve">Der Anspruch der Gesellschaft kann auch von den Gläubigern der Gesellschaft geltend gemacht werden, soweit sie von dieser keine Befriedigung erlangen können. </w:t>
      </w:r>
      <w:r>
        <w:rPr>
          <w:rStyle w:val="Satznummer"/>
        </w:rPr>
        <w:t>2</w:t>
      </w:r>
      <w:r>
        <w:t>Ist über das Vermögen der Gesellschaft das Insolvenzverfahren eröffnet, so übt während dessen Dauer der Insolvenzverwalter oder der Sachwalter das Recht der Gesellschaftsgläubiger gegen die Aktionäre aus.</w:t>
      </w:r>
    </w:p>
    <w:p>
      <w:r>
        <w:t xml:space="preserve">(3) </w:t>
      </w:r>
      <w:r>
        <w:rPr>
          <w:rStyle w:val="Satznummer"/>
        </w:rPr>
        <w:t>1</w:t>
      </w:r>
      <w:r>
        <w:t xml:space="preserve">Die Ansprüche nach diesen Vorschriften verjähren in zehn Jahren seit dem Empfang der Leistung. </w:t>
      </w:r>
      <w:r>
        <w:rPr>
          <w:rStyle w:val="Satznummer"/>
        </w:rPr>
        <w:t>2</w:t>
      </w:r>
      <w:hyperlink w:anchor="b61" w:history="1">
        <w:r>
          <w:rPr>
            <w:color w:val="0A3A8C"/>
            <w:u w:val="single"/>
          </w:rPr>
          <w:t xml:space="preserve">§ 54</w:t>
        </w:r>
      </w:hyperlink>
      <w:r>
        <w:t xml:space="preserve"> Abs. 4 Satz 2 findet entsprechende Anwendung.</w:t>
      </w:r>
    </w:p>
    <w:p>
      <w:pPr>
        <w:pStyle w:val="Heading3"/>
      </w:pPr>
      <w:bookmarkStart w:id="71" w:name="b70"/>
      <w:r>
        <w:t>§ 63 Folgen nicht rechtzeitiger Einzahlung</w:t>
      </w:r>
      <w:r>
        <w:t xml:space="preserve"> </w:t>
      </w:r>
      <w:r>
        <w:rPr>
          <w:rStyle w:val="Suchmarke"/>
        </w:rPr>
        <w:t>#63#</w:t>
      </w:r>
      <w:bookmarkEnd w:id="71"/>
    </w:p>
    <w:p>
      <w:r>
        <w:t xml:space="preserve">(1) </w:t>
      </w:r>
      <w:r>
        <w:rPr>
          <w:rStyle w:val="Satznummer"/>
        </w:rPr>
        <w:t>1</w:t>
      </w:r>
      <w:r>
        <w:t xml:space="preserve">Die Aktionäre haben die Einlagen nach Aufforderung durch den Vorstand einzuzahlen. </w:t>
      </w:r>
      <w:r>
        <w:rPr>
          <w:rStyle w:val="Satznummer"/>
        </w:rPr>
        <w:t>2</w:t>
      </w:r>
      <w:r>
        <w:t>Die Aufforderung ist, wenn die Satzung nichts anderes bestimmt, in den Gesellschaftsblättern bekanntzumachen.</w:t>
      </w:r>
    </w:p>
    <w:p>
      <w:r>
        <w:t xml:space="preserve">(2) </w:t>
      </w:r>
      <w:r>
        <w:rPr>
          <w:rStyle w:val="Satznummer"/>
        </w:rPr>
        <w:t>1</w:t>
      </w:r>
      <w:r>
        <w:t xml:space="preserve">Aktionäre, die den eingeforderten Betrag nicht rechtzeitig einzahlen, haben ihn vom Eintritt der Fälligkeit an mit fünf vom Hundert für das Jahr zu verzinsen. </w:t>
      </w:r>
      <w:r>
        <w:rPr>
          <w:rStyle w:val="Satznummer"/>
        </w:rPr>
        <w:t>2</w:t>
      </w:r>
      <w:r>
        <w:t>Die Geltendmachung eines weiteren Schadens ist nicht ausgeschlossen.</w:t>
      </w:r>
    </w:p>
    <w:p>
      <w:r>
        <w:t>(3) Für den Fall nicht rechtzeitiger Einzahlung kann die Satzung Vertragsstrafen festsetzen.</w:t>
      </w:r>
    </w:p>
    <w:p>
      <w:pPr>
        <w:pStyle w:val="Heading3"/>
      </w:pPr>
      <w:bookmarkStart w:id="72" w:name="b71"/>
      <w:r>
        <w:t>§ 64 Ausschluß säumiger Aktionäre</w:t>
      </w:r>
      <w:r>
        <w:t xml:space="preserve"> </w:t>
      </w:r>
      <w:r>
        <w:rPr>
          <w:rStyle w:val="Suchmarke"/>
        </w:rPr>
        <w:t>#64#</w:t>
      </w:r>
      <w:bookmarkEnd w:id="72"/>
    </w:p>
    <w:p>
      <w:r>
        <w:t>(1) Aktionären, die den eingeforderten Betrag nicht rechtzeitig einzahlen, kann eine Nachfrist mit der Androhung gesetzt werden, daß sie nach Fristablauf ihrer Aktien und der geleisteten Einzahlungen für verlustig erklärt werden.</w:t>
      </w:r>
    </w:p>
    <w:p>
      <w:r>
        <w:t xml:space="preserve">(2) </w:t>
      </w:r>
      <w:r>
        <w:rPr>
          <w:rStyle w:val="Satznummer"/>
        </w:rPr>
        <w:t>1</w:t>
      </w:r>
      <w:r>
        <w:t xml:space="preserve">Die Nachfrist muß dreimal in den Gesellschaftsblättern bekanntgemacht werden. </w:t>
      </w:r>
      <w:r>
        <w:rPr>
          <w:rStyle w:val="Satznummer"/>
        </w:rPr>
        <w:t>2</w:t>
      </w:r>
      <w:r>
        <w:t xml:space="preserve">Die erste Bekanntmachung muß mindestens drei Monate, die letzte mindestens einen Monat vor Fristablauf ergehen. </w:t>
      </w:r>
      <w:r>
        <w:rPr>
          <w:rStyle w:val="Satznummer"/>
        </w:rPr>
        <w:t>3</w:t>
      </w:r>
      <w:r>
        <w:t xml:space="preserve">Zwischen den einzelnen Bekanntmachungen muß ein Zeitraum von mindestens drei Wochen liegen. </w:t>
      </w:r>
      <w:r>
        <w:rPr>
          <w:rStyle w:val="Satznummer"/>
        </w:rPr>
        <w:t>4</w:t>
      </w:r>
      <w:r>
        <w:t>Ist die Übertragung der Aktien an die Zustimmung der Gesellschaft gebunden, so genügt an Stelle der öffentlichen Bekanntmachungen die einmalige Einzelaufforderung an die säumigen Aktionäre; dabei muß eine Nachfrist gewährt werden, die mindestens einen Monat seit dem Empfang der Aufforderung beträgt.</w:t>
      </w:r>
    </w:p>
    <w:p>
      <w:r>
        <w:t xml:space="preserve">(3) </w:t>
      </w:r>
      <w:r>
        <w:rPr>
          <w:rStyle w:val="Satznummer"/>
        </w:rPr>
        <w:t>1</w:t>
      </w:r>
      <w:r>
        <w:t xml:space="preserve">Aktionäre, die den eingeforderten Betrag trotzdem nicht zahlen, werden durch Bekanntmachung in den Gesellschaftsblättern ihrer Aktien und der geleisteten Einzahlungen zugunsten der Gesellschaft für verlustig erklärt. </w:t>
      </w:r>
      <w:r>
        <w:rPr>
          <w:rStyle w:val="Satznummer"/>
        </w:rPr>
        <w:t>2</w:t>
      </w:r>
      <w:r>
        <w:t>In der Bekanntmachung sind die für verlustig erklärten Aktien mit ihren Unterscheidungsmerkmalen anzugeben.</w:t>
      </w:r>
    </w:p>
    <w:p>
      <w:r>
        <w:t xml:space="preserve">(4) </w:t>
      </w:r>
      <w:r>
        <w:rPr>
          <w:rStyle w:val="Satznummer"/>
        </w:rPr>
        <w:t>1</w:t>
      </w:r>
      <w:r>
        <w:t xml:space="preserve">An Stelle der alten Urkunden werden neue ausgegeben; diese haben außer den geleisteten Teilzahlungen den rückständigen Betrag anzugeben. </w:t>
      </w:r>
      <w:r>
        <w:rPr>
          <w:rStyle w:val="Satznummer"/>
        </w:rPr>
        <w:t>2</w:t>
      </w:r>
      <w:r>
        <w:t>Für den Ausfall der Gesellschaft an diesem Betrag oder an den später eingeforderten Beträgen haftet ihr der ausgeschlossene Aktionär.</w:t>
      </w:r>
    </w:p>
    <w:p>
      <w:pPr>
        <w:pStyle w:val="Heading3"/>
      </w:pPr>
      <w:bookmarkStart w:id="73" w:name="b72"/>
      <w:r>
        <w:t>§ 65 Zahlungspflicht der Vormänner</w:t>
      </w:r>
      <w:r>
        <w:t xml:space="preserve"> </w:t>
      </w:r>
      <w:r>
        <w:rPr>
          <w:rStyle w:val="Suchmarke"/>
        </w:rPr>
        <w:t>#65#</w:t>
      </w:r>
      <w:bookmarkEnd w:id="73"/>
    </w:p>
    <w:p>
      <w:r>
        <w:t xml:space="preserve">(1) </w:t>
      </w:r>
      <w:r>
        <w:rPr>
          <w:rStyle w:val="Satznummer"/>
        </w:rPr>
        <w:t>1</w:t>
      </w:r>
      <w:r>
        <w:t xml:space="preserve">Jeder im Aktienregister verzeichnete Vormann des ausgeschlossenen Aktionärs ist der Gesellschaft zur Zahlung des rückständigen Betrags verpflichtet, soweit dieser von seinen Nachmännern nicht zu erlangen ist. </w:t>
      </w:r>
      <w:r>
        <w:rPr>
          <w:rStyle w:val="Satznummer"/>
        </w:rPr>
        <w:t>2</w:t>
      </w:r>
      <w:r>
        <w:t xml:space="preserve">Von der Zahlungsaufforderung an einen früheren Aktionär hat die Gesellschaft seinen unmittelbaren Vormann zu benachrichtigen. </w:t>
      </w:r>
      <w:r>
        <w:rPr>
          <w:rStyle w:val="Satznummer"/>
        </w:rPr>
        <w:t>3</w:t>
      </w:r>
      <w:r>
        <w:t xml:space="preserve">Daß die Zahlung nicht zu erlangen ist, wird vermutet, wenn sie nicht innerhalb eines Monats seit der Zahlungsaufforderung und der Benachrichtigung des Vormanns eingegangen ist. </w:t>
      </w:r>
      <w:r>
        <w:rPr>
          <w:rStyle w:val="Satznummer"/>
        </w:rPr>
        <w:t>4</w:t>
      </w:r>
      <w:r>
        <w:t>Gegen Zahlung des rückständigen Betrags wird die neue Urkunde ausgehändigt.</w:t>
      </w:r>
    </w:p>
    <w:p>
      <w:r>
        <w:t xml:space="preserve">(2) </w:t>
      </w:r>
      <w:r>
        <w:rPr>
          <w:rStyle w:val="Satznummer"/>
        </w:rPr>
        <w:t>1</w:t>
      </w:r>
      <w:r>
        <w:t xml:space="preserve">Jeder Vormann ist nur zur Zahlung der Beträge verpflichtet, die binnen zwei Jahren eingefordert werden. </w:t>
      </w:r>
      <w:r>
        <w:rPr>
          <w:rStyle w:val="Satznummer"/>
        </w:rPr>
        <w:t>2</w:t>
      </w:r>
      <w:r>
        <w:t>Die Frist beginnt mit dem Tag, an dem die Übertragung der Aktie zum Aktienregister der Gesellschaft angemeldet wird.</w:t>
      </w:r>
    </w:p>
    <w:p>
      <w:r>
        <w:t xml:space="preserve">(3) </w:t>
      </w:r>
      <w:r>
        <w:rPr>
          <w:rStyle w:val="Satznummer"/>
        </w:rPr>
        <w:t>1</w:t>
      </w:r>
      <w:r>
        <w:t xml:space="preserve">Ist die Zahlung des rückständigen Betrags von Vormännern nicht zu erlangen, so hat die Gesellschaft die Aktie unverzüglich zum Börsenpreis und beim Fehlen eines Börsenpreises durch öffentliche Versteigerung zu verkaufen. </w:t>
      </w:r>
      <w:r>
        <w:rPr>
          <w:rStyle w:val="Satznummer"/>
        </w:rPr>
        <w:t>2</w:t>
      </w:r>
      <w:r>
        <w:t xml:space="preserve">Ist von der Versteigerung am Sitz der Gesellschaft kein angemessener Erfolg zu erwarten, so ist die Aktie an einem geeigneten Ort zu verkaufen. </w:t>
      </w:r>
      <w:r>
        <w:rPr>
          <w:rStyle w:val="Satznummer"/>
        </w:rPr>
        <w:t>3</w:t>
      </w:r>
      <w:r>
        <w:t xml:space="preserve">Zeit, Ort und Gegenstand der Versteigerung sind öffentlich bekanntzumachen. </w:t>
      </w:r>
      <w:r>
        <w:rPr>
          <w:rStyle w:val="Satznummer"/>
        </w:rPr>
        <w:t>4</w:t>
      </w:r>
      <w:r>
        <w:t xml:space="preserve">Der ausgeschlossene Aktionär und seine Vormänner sind besonders zu benachrichtigen; die Benachrichtigung kann unterbleiben, wenn sie untunlich ist. </w:t>
      </w:r>
      <w:r>
        <w:rPr>
          <w:rStyle w:val="Satznummer"/>
        </w:rPr>
        <w:t>5</w:t>
      </w:r>
      <w:r>
        <w:t>Bekanntmachung und Benachrichtigung müssen mindestens zwei Wochen vor der Versteigerung ergehen.</w:t>
      </w:r>
    </w:p>
    <w:p>
      <w:pPr>
        <w:pStyle w:val="Heading3"/>
      </w:pPr>
      <w:bookmarkStart w:id="74" w:name="b73"/>
      <w:r>
        <w:t>§ 66 Keine Befreiung der Aktionäre von ihren Leistungspflichten</w:t>
      </w:r>
      <w:r>
        <w:t xml:space="preserve"> </w:t>
      </w:r>
      <w:r>
        <w:rPr>
          <w:rStyle w:val="Suchmarke"/>
        </w:rPr>
        <w:t>#66#</w:t>
      </w:r>
      <w:bookmarkEnd w:id="74"/>
    </w:p>
    <w:p>
      <w:r>
        <w:t xml:space="preserve">(1) </w:t>
      </w:r>
      <w:r>
        <w:rPr>
          <w:rStyle w:val="Satznummer"/>
        </w:rPr>
        <w:t>1</w:t>
      </w:r>
      <w:r>
        <w:t xml:space="preserve">Die Aktionäre und ihre Vormänner können von ihren Leistungspflichten nach den </w:t>
      </w:r>
      <w:hyperlink w:anchor="b61" w:history="1">
        <w:r>
          <w:rPr>
            <w:color w:val="0A3A8C"/>
            <w:u w:val="single"/>
          </w:rPr>
          <w:t xml:space="preserve">§§ 54</w:t>
        </w:r>
      </w:hyperlink>
      <w:r>
        <w:t xml:space="preserve"> und </w:t>
      </w:r>
      <w:hyperlink w:anchor="b72" w:history="1">
        <w:r>
          <w:rPr>
            <w:color w:val="0A3A8C"/>
            <w:u w:val="single"/>
          </w:rPr>
          <w:t xml:space="preserve">65</w:t>
        </w:r>
      </w:hyperlink>
      <w:r>
        <w:t xml:space="preserve"> nicht befreit werden. </w:t>
      </w:r>
      <w:r>
        <w:rPr>
          <w:rStyle w:val="Satznummer"/>
        </w:rPr>
        <w:t>2</w:t>
      </w:r>
      <w:r>
        <w:t xml:space="preserve">Gegen eine Forderung der Gesellschaft nach den </w:t>
      </w:r>
      <w:hyperlink w:anchor="b61" w:history="1">
        <w:r>
          <w:rPr>
            <w:color w:val="0A3A8C"/>
            <w:u w:val="single"/>
          </w:rPr>
          <w:t xml:space="preserve">§§ 54</w:t>
        </w:r>
      </w:hyperlink>
      <w:r>
        <w:t xml:space="preserve"> und </w:t>
      </w:r>
      <w:hyperlink w:anchor="b72" w:history="1">
        <w:r>
          <w:rPr>
            <w:color w:val="0A3A8C"/>
            <w:u w:val="single"/>
          </w:rPr>
          <w:t xml:space="preserve">65</w:t>
        </w:r>
      </w:hyperlink>
      <w:r>
        <w:t xml:space="preserve"> ist die Aufrechnung nicht zulässig.</w:t>
      </w:r>
    </w:p>
    <w:p>
      <w:r>
        <w:t>(2) Absatz 1 gilt entsprechend für die Verpflichtung zur Rückgewähr von Leistungen, die entgegen den Vorschriften dieses Gesetzes empfangen sind, für die Ausfallhaftung des ausgeschlossenen Aktionärs sowie für die Schadenersatzpflicht des Aktionärs wegen nicht gehöriger Leistung einer Sacheinlage.</w:t>
      </w:r>
    </w:p>
    <w:p>
      <w:r>
        <w:t>(3) Durch eine ordentliche Kapitalherabsetzung oder durch eine Kapitalherabsetzung durch Einziehung von Aktien können die Aktionäre von der Verpflichtung zur Leistung von Einlagen befreit werden, durch eine ordentliche Kapitalherabsetzung jedoch höchstens in Höhe des Betrags, um den das Grundkapital herabgesetzt worden ist.</w:t>
      </w:r>
    </w:p>
    <w:p>
      <w:pPr>
        <w:pStyle w:val="Heading3"/>
      </w:pPr>
      <w:bookmarkStart w:id="75" w:name="b74"/>
      <w:r>
        <w:t>§ 67 Eintragung im Aktienregister</w:t>
      </w:r>
      <w:r>
        <w:t xml:space="preserve"> </w:t>
      </w:r>
      <w:r>
        <w:rPr>
          <w:rStyle w:val="Suchmarke"/>
        </w:rPr>
        <w:t>#67#</w:t>
      </w:r>
      <w:bookmarkEnd w:id="75"/>
    </w:p>
    <w:p>
      <w:r>
        <w:t xml:space="preserve">(1) </w:t>
      </w:r>
      <w:r>
        <w:rPr>
          <w:rStyle w:val="Satznummer"/>
        </w:rPr>
        <w:t>1</w:t>
      </w:r>
      <w:r>
        <w:t xml:space="preserve">Namensaktien sind unabhängig von einer Verbriefung unter Angabe des Namens, Vornamens, Geburtsdatums und einer Anschrift sowie einer elektronischen Adresse des Aktionärs sowie der Stückzahl oder der Aktiennummer und bei Nennbetragsaktien des Betrags in das Aktienregister der Gesellschaft einzutragen. </w:t>
      </w:r>
      <w:r>
        <w:rPr>
          <w:rStyle w:val="Satznummer"/>
        </w:rPr>
        <w:t>2</w:t>
      </w:r>
      <w:r>
        <w:t xml:space="preserve">Ist ein Aktionär selbst eine juristische Person oder rechtsfähige Personengesellschaft, sind in das Aktienregister deren Firma oder Name, Sitz und Anschrift einzutragen. </w:t>
      </w:r>
      <w:r>
        <w:rPr>
          <w:rStyle w:val="Satznummer"/>
        </w:rPr>
        <w:t>3</w:t>
      </w:r>
      <w:r>
        <w:t xml:space="preserve">Eine Gesellschaft bürgerlichen Rechts kann nur in das Aktienregister eingetragen und Veränderungen an ihrer Eintragung können nur vorgenommen werden, wenn sie in das Gesellschaftsregister eingetragen ist. </w:t>
      </w:r>
      <w:r>
        <w:rPr>
          <w:rStyle w:val="Satznummer"/>
        </w:rPr>
        <w:t>4</w:t>
      </w:r>
      <w:r>
        <w:t xml:space="preserve">Der Aktionär ist verpflichtet, der Gesellschaft die Angaben nach den Sätzen 1 und 2 mitzuteilen. </w:t>
      </w:r>
      <w:r>
        <w:rPr>
          <w:rStyle w:val="Satznummer"/>
        </w:rPr>
        <w:t>5</w:t>
      </w:r>
      <w:r>
        <w:t xml:space="preserve">Die Satzung kann Näheres dazu bestimmen, unter welchen Voraussetzungen Eintragungen im eigenen Namen für Aktien, die einem anderen gehören, zulässig sind. </w:t>
      </w:r>
      <w:r>
        <w:rPr>
          <w:rStyle w:val="Satznummer"/>
        </w:rPr>
        <w:t>6</w:t>
      </w:r>
      <w:r>
        <w:t xml:space="preserve">Aktien, die zu einem inländischen, EU- oder ausländischen Investmentvermögen nach dem Kapitalanlagegesetzbuch gehören, dessen Anteile oder Aktien nicht ausschließlich von professionellen und semiprofessionellen Anlegern gehalten werden, gelten als Aktien des inländischen, EU- oder ausländischen Investmentvermögens, auch wenn sie im Miteigentum der Anleger stehen; verfügt das Investmentvermögen über keine eigene Rechtspersönlichkeit, gelten sie als Aktien der Verwaltungsgesellschaft des Investmentvermögens. </w:t>
      </w:r>
      <w:r>
        <w:rPr>
          <w:rStyle w:val="Satznummer"/>
        </w:rPr>
        <w:t>7</w:t>
      </w:r>
      <w:r>
        <w:t>Um die Angaben nach den Sätzen 1 und 2 zu übermitteln, richtet die Gesellschaft zur Ausgabe von elektronischen Aktien in Zusammenarbeit mit der registerführenden Stelle des zentralen Registers gemäß § 12 Absatz 2 des Gesetzes über elektronische Wertpapiere oder des Kryptowertpapierregisters gemäß § 16 Absatz 2 des Gesetzes über elektronische Wertpapiere ein Meldesystem ein.</w:t>
      </w:r>
    </w:p>
    <w:p>
      <w:r>
        <w:t xml:space="preserve">(2) </w:t>
      </w:r>
      <w:r>
        <w:rPr>
          <w:rStyle w:val="Satznummer"/>
        </w:rPr>
        <w:t>1</w:t>
      </w:r>
      <w:r>
        <w:t xml:space="preserve">Im Verhältnis zur Gesellschaft bestehen Rechte und Pflichten aus Aktien nur für und gegen den im Aktienregister Eingetragenen. </w:t>
      </w:r>
      <w:r>
        <w:rPr>
          <w:rStyle w:val="Satznummer"/>
        </w:rPr>
        <w:t>2</w:t>
      </w:r>
      <w:r>
        <w:t xml:space="preserve">Jedoch bestehen Stimmrechte aus Eintragungen nicht, die eine nach Absatz 1 Satz 5 bestimmte satzungsmäßige Höchstgrenze überschreiten oder hinsichtlich derer eine satzungsmäßige Pflicht zur Offenlegung, dass die Aktien einem anderen gehören, nicht erfüllt wird. </w:t>
      </w:r>
      <w:r>
        <w:rPr>
          <w:rStyle w:val="Satznummer"/>
        </w:rPr>
        <w:t>3</w:t>
      </w:r>
      <w:r>
        <w:t>Ferner bestehen Stimmrechte aus Aktien nicht, solange ein Auskunftsverlangen gemäß Absatz 4 Satz 2 nach Fristablauf und Androhung des Stimmrechtsverlustes nicht erfüllt ist.</w:t>
      </w:r>
    </w:p>
    <w:p>
      <w:r>
        <w:t xml:space="preserve">(3) </w:t>
      </w:r>
      <w:r>
        <w:rPr>
          <w:rStyle w:val="Satznummer"/>
        </w:rPr>
        <w:t>1</w:t>
      </w:r>
      <w:r>
        <w:t xml:space="preserve">Löschung und Neueintragung im Aktienregister erfolgen auf Mitteilung und Nachweis. </w:t>
      </w:r>
      <w:r>
        <w:rPr>
          <w:rStyle w:val="Satznummer"/>
        </w:rPr>
        <w:t>2</w:t>
      </w:r>
      <w:r>
        <w:t xml:space="preserve">Die Gesellschaft kann eine Eintragung auch auf Mitteilung nach </w:t>
      </w:r>
      <w:hyperlink w:anchor="b78" w:history="1">
        <w:r>
          <w:rPr>
            <w:color w:val="0A3A8C"/>
            <w:u w:val="single"/>
          </w:rPr>
          <w:t xml:space="preserve">§ 67d</w:t>
        </w:r>
      </w:hyperlink>
      <w:r>
        <w:t xml:space="preserve"> Absatz 4 vornehmen.</w:t>
      </w:r>
    </w:p>
    <w:p>
      <w:r>
        <w:t xml:space="preserve">(4) </w:t>
      </w:r>
      <w:r>
        <w:rPr>
          <w:rStyle w:val="Satznummer"/>
        </w:rPr>
        <w:t>1</w:t>
      </w:r>
      <w:r>
        <w:t xml:space="preserve">Die bei Übertragung oder Verwahrung von Namensaktien mitwirkenden Intermediäre sind verpflichtet, der Gesellschaft die für die Führung des Aktienregisters erforderlichen Angaben gegen Erstattung der notwendigen Kosten zu übermitteln. </w:t>
      </w:r>
      <w:r>
        <w:rPr>
          <w:rStyle w:val="Satznummer"/>
        </w:rPr>
        <w:t>2</w:t>
      </w:r>
      <w:r>
        <w:t xml:space="preserve">Der Eingetragene hat der Gesellschaft auf ihr Verlangen unverzüglich mitzuteilen, inwieweit ihm die Aktien, für die er im Aktienregister eingetragen ist, auch gehören; soweit dies nicht der Fall ist, hat er die in Absatz 1 Satz 1 und 2 genannten Angaben zu demjenigen zu übermitteln, für den er die Aktien hält. </w:t>
      </w:r>
      <w:r>
        <w:rPr>
          <w:rStyle w:val="Satznummer"/>
        </w:rPr>
        <w:t>3</w:t>
      </w:r>
      <w:r>
        <w:t xml:space="preserve">Dies gilt entsprechend für denjenigen, dessen Daten nach Satz 2 oder diesem Satz übermittelt werden. </w:t>
      </w:r>
      <w:r>
        <w:rPr>
          <w:rStyle w:val="Satznummer"/>
        </w:rPr>
        <w:t>4</w:t>
      </w:r>
      <w:r>
        <w:t xml:space="preserve">Absatz 1 Satz 6 gilt entsprechend; für die Kostentragung gilt Satz 1. </w:t>
      </w:r>
      <w:r>
        <w:rPr>
          <w:rStyle w:val="Satznummer"/>
        </w:rPr>
        <w:t>5</w:t>
      </w:r>
      <w:r>
        <w:t xml:space="preserve">Wird der Inhaber von Namensaktien nicht in das Aktienregister eingetragen, so ist der depotführende Intermediär auf Verlangen der Gesellschaft verpflichtet, sich gegen Erstattung der notwendigen Kosten durch die Gesellschaft an dessen Stelle gesondert in das Aktienregister eintragen zu lassen. </w:t>
      </w:r>
      <w:r>
        <w:rPr>
          <w:rStyle w:val="Satznummer"/>
        </w:rPr>
        <w:t>6</w:t>
      </w:r>
      <w:r>
        <w:t xml:space="preserve">Wird ein Intermediär im Rahmen eines Übertragungsvorgangs von Namensaktien nur vorübergehend gesondert in das Aktienregister eingetragen, so löst diese Eintragung keine Pflichten infolge des Absatzes 2 aus und führt nicht zur Anwendung von satzungsmäßigen Beschränkungen nach Absatz 1 Satz 5. </w:t>
      </w:r>
      <w:r>
        <w:rPr>
          <w:rStyle w:val="Satznummer"/>
        </w:rPr>
        <w:t>7</w:t>
      </w:r>
      <w:hyperlink w:anchor="b78" w:history="1">
        <w:r>
          <w:rPr>
            <w:color w:val="0A3A8C"/>
            <w:u w:val="single"/>
          </w:rPr>
          <w:t xml:space="preserve">§ 67d</w:t>
        </w:r>
      </w:hyperlink>
      <w:r>
        <w:t xml:space="preserve"> bleibt unberührt.</w:t>
      </w:r>
    </w:p>
    <w:p>
      <w:r>
        <w:t xml:space="preserve">(5) </w:t>
      </w:r>
      <w:r>
        <w:rPr>
          <w:rStyle w:val="Satznummer"/>
        </w:rPr>
        <w:t>1</w:t>
      </w:r>
      <w:r>
        <w:t xml:space="preserve">Ist jemand nach Ansicht der Gesellschaft zu Unrecht als Aktionär in das Aktienregister eingetragen worden, so kann die Gesellschaft die Eintragung nur löschen, wenn sie vorher die Beteiligten von der beabsichtigten Löschung benachrichtigt und ihnen eine angemessene Frist zur Geltendmachung eines Widerspruchs gesetzt hat. </w:t>
      </w:r>
      <w:r>
        <w:rPr>
          <w:rStyle w:val="Satznummer"/>
        </w:rPr>
        <w:t>2</w:t>
      </w:r>
      <w:r>
        <w:t>Widerspricht ein Beteiligter innerhalb der Frist, so hat die Löschung zu unterbleiben.</w:t>
      </w:r>
    </w:p>
    <w:p>
      <w:r>
        <w:t xml:space="preserve">(6) </w:t>
      </w:r>
      <w:r>
        <w:rPr>
          <w:rStyle w:val="Satznummer"/>
        </w:rPr>
        <w:t>1</w:t>
      </w:r>
      <w:r>
        <w:t xml:space="preserve">Der Aktionär kann von der Gesellschaft Auskunft über die zu seiner Person in das Aktienregister eingetragenen Daten verlangen. </w:t>
      </w:r>
      <w:r>
        <w:rPr>
          <w:rStyle w:val="Satznummer"/>
        </w:rPr>
        <w:t>2</w:t>
      </w:r>
      <w:r>
        <w:t xml:space="preserve">Bei nichtbörsennotierten Gesellschaften kann die Satzung Weiteres bestimmen. </w:t>
      </w:r>
      <w:r>
        <w:rPr>
          <w:rStyle w:val="Satznummer"/>
        </w:rPr>
        <w:t>3</w:t>
      </w:r>
      <w:r>
        <w:t xml:space="preserve">Die Gesellschaft darf die Registerdaten sowie die nach Absatz 4 Satz 2 und 3 mitgeteilten Daten für ihre Aufgaben im Verhältnis zu den Aktionären verwenden. </w:t>
      </w:r>
      <w:r>
        <w:rPr>
          <w:rStyle w:val="Satznummer"/>
        </w:rPr>
        <w:t>4</w:t>
      </w:r>
      <w:r>
        <w:t xml:space="preserve">Zur Werbung für das Unternehmen darf sie die Daten nur verwenden, soweit der Aktionär nicht widerspricht. </w:t>
      </w:r>
      <w:r>
        <w:rPr>
          <w:rStyle w:val="Satznummer"/>
        </w:rPr>
        <w:t>5</w:t>
      </w:r>
      <w:r>
        <w:t>Die Aktionäre sind in angemessener Weise über ihr Widerspruchsrecht zu informieren.</w:t>
      </w:r>
    </w:p>
    <w:p>
      <w:r>
        <w:t>(7) Diese Vorschriften gelten sinngemäß für Zwischenscheine.</w:t>
      </w:r>
    </w:p>
    <w:p>
      <w:pPr>
        <w:pStyle w:val="Heading3"/>
      </w:pPr>
      <w:bookmarkStart w:id="76" w:name="b75"/>
      <w:r>
        <w:t>§ 67a Übermittlung von Informationen über Unternehmensereignisse; Begriffsbestimmungen</w:t>
      </w:r>
      <w:r>
        <w:t xml:space="preserve"> </w:t>
      </w:r>
      <w:r>
        <w:rPr>
          <w:rStyle w:val="Suchmarke"/>
        </w:rPr>
        <w:t>#67a#</w:t>
      </w:r>
      <w:bookmarkEnd w:id="76"/>
    </w:p>
    <w:p>
      <w:r>
        <w:t xml:space="preserve">(1) </w:t>
      </w:r>
      <w:r>
        <w:rPr>
          <w:rStyle w:val="Satznummer"/>
        </w:rPr>
        <w:t>1</w:t>
      </w:r>
      <w:r>
        <w:t>Börsennotierte Gesellschaften haben Informationen über Unternehmensereignisse gemäß Absatz 6, die den Aktionären nicht direkt oder von anderer Seite mitgeteilt werden, zur Weiterleitung an die Aktionäre wie folgt zu übermitteln:</w:t>
      </w:r>
    </w:p>
    <w:p>
      <w:pPr>
        <w:tabs>
          <w:tab w:pos="567" w:val="left"/>
        </w:tabs>
        <w:ind w:left="567" w:hanging="567"/>
      </w:pPr>
      <w:r>
        <w:t>1.</w:t>
      </w:r>
      <w:r>
        <w:tab/>
      </w:r>
      <w:r>
        <w:t>an die im Aktienregister Eingetragenen, soweit die Gesellschaft Namensaktien ausgegeben hat,</w:t>
      </w:r>
    </w:p>
    <w:p>
      <w:pPr>
        <w:tabs>
          <w:tab w:pos="567" w:val="left"/>
        </w:tabs>
        <w:ind w:left="567" w:hanging="567"/>
      </w:pPr>
      <w:r>
        <w:t>2.</w:t>
      </w:r>
      <w:r>
        <w:tab/>
      </w:r>
      <w:r>
        <w:t>im Übrigen an die Intermediäre, die Aktien der Gesellschaft verwahren.</w:t>
      </w:r>
    </w:p>
    <w:p>
      <w:r>
        <w:rPr>
          <w:rStyle w:val="Satznummer"/>
        </w:rPr>
        <w:t>2</w:t>
      </w:r>
      <w:r>
        <w:t xml:space="preserve">Für Informationen zur Einberufung der Hauptversammlung gilt </w:t>
      </w:r>
      <w:hyperlink w:anchor="b157" w:history="1">
        <w:r>
          <w:rPr>
            <w:color w:val="0A3A8C"/>
            <w:u w:val="single"/>
          </w:rPr>
          <w:t xml:space="preserve">§ 125</w:t>
        </w:r>
      </w:hyperlink>
      <w:r>
        <w:t>.</w:t>
      </w:r>
    </w:p>
    <w:p>
      <w:r>
        <w:t xml:space="preserve">(2) </w:t>
      </w:r>
      <w:r>
        <w:rPr>
          <w:rStyle w:val="Satznummer"/>
        </w:rPr>
        <w:t>1</w:t>
      </w:r>
      <w:r>
        <w:t xml:space="preserve">Die Informationen können durch beauftragte Dritte übermittelt werden. </w:t>
      </w:r>
      <w:r>
        <w:rPr>
          <w:rStyle w:val="Satznummer"/>
        </w:rPr>
        <w:t>2</w:t>
      </w:r>
      <w:r>
        <w:t xml:space="preserve">Die Informationen sind den Intermediären elektronisch zu übermitteln. </w:t>
      </w:r>
      <w:r>
        <w:rPr>
          <w:rStyle w:val="Satznummer"/>
        </w:rPr>
        <w:t>3</w:t>
      </w:r>
      <w:r>
        <w:t xml:space="preserve">Format, Inhalt und Frist der Informationsübermittlung nach Absatz 1 richten sich nach der Durchführungsverordnung (EU) 2018/1212 der Kommission vom 3. September 2018 zur Festlegung von Mindestanforderungen zur Umsetzung der Bestimmungen der Richtlinie 2007/36/EG des Europäischen Parlaments und des Rates in Bezug auf die Identifizierung der Aktionäre, die Informationsübermittlung und die Erleichterung der Ausübung der Aktionärsrechte (ABl. L 223 vom 4.9.2018, S. 1) in der jeweils geltenden Fassung. </w:t>
      </w:r>
      <w:r>
        <w:rPr>
          <w:rStyle w:val="Satznummer"/>
        </w:rPr>
        <w:t>4</w:t>
      </w:r>
      <w:r>
        <w:t>Die Übermittlung der Informationen kann gemäß den Anforderungen nach Artikel 8 Absatz 4 in Verbindung mit Tabelle 8 der Durchführungsverordnung (EU) 2018/1212 beschränkt werden.</w:t>
      </w:r>
    </w:p>
    <w:p>
      <w:r>
        <w:t xml:space="preserve">(3) </w:t>
      </w:r>
      <w:r>
        <w:rPr>
          <w:rStyle w:val="Satznummer"/>
        </w:rPr>
        <w:t>1</w:t>
      </w:r>
      <w:r>
        <w:t xml:space="preserve">Ein Intermediär in der Kette hat Informationen nach Absatz 1 Satz 1, die er von einem anderen Intermediär oder der Gesellschaft erhält, innerhalb der Fristen nach Artikel 9 Absatz 2 Unterabsatz 2 oder 3 und Absatz 7 der Durchführungsverordnung (EU) 2018/1212 dem nächsten Intermediär weiterzuleiten, es sei denn, ihm ist bekannt, dass der nächste Intermediär sie von anderer Seite erhält. </w:t>
      </w:r>
      <w:r>
        <w:rPr>
          <w:rStyle w:val="Satznummer"/>
        </w:rPr>
        <w:t>2</w:t>
      </w:r>
      <w:r>
        <w:t xml:space="preserve">Dies gilt auch für Informationen einer börsennotierten Gesellschaft mit Sitz in einem anderen Mitgliedstaat der Europäischen Union. </w:t>
      </w:r>
      <w:r>
        <w:rPr>
          <w:rStyle w:val="Satznummer"/>
        </w:rPr>
        <w:t>3</w:t>
      </w:r>
      <w:r>
        <w:t>Absatz 2 Satz 1 gilt entsprechend.</w:t>
      </w:r>
    </w:p>
    <w:p>
      <w:r>
        <w:t>(4) Intermediär ist eine Person, die Dienstleistungen der Verwahrung oder der Verwaltung von Wertpapieren oder der Führung von Depotkonten für Aktionäre oder andere Personen erbringt, wenn die Dienstleistungen im Zusammenhang mit Aktien von Gesellschaften stehen, die ihren Sitz in einem Mitgliedstaat der Europäischen Union oder in einem anderen Vertragsstaat des Abkommens über den Europäischen Wirtschaftsraum haben.</w:t>
      </w:r>
    </w:p>
    <w:p>
      <w:r>
        <w:t xml:space="preserve">(5) </w:t>
      </w:r>
      <w:r>
        <w:rPr>
          <w:rStyle w:val="Satznummer"/>
        </w:rPr>
        <w:t>1</w:t>
      </w:r>
      <w:r>
        <w:t xml:space="preserve">Intermediär in der Kette ist ein Intermediär, der Aktien der Gesellschaft für einen anderen Intermediär verwahrt. </w:t>
      </w:r>
      <w:r>
        <w:rPr>
          <w:rStyle w:val="Satznummer"/>
        </w:rPr>
        <w:t>2</w:t>
      </w:r>
      <w:r>
        <w:t>Letztintermediär ist, wer als Intermediär für einen Aktionär Aktien einer Gesellschaft verwahrt.</w:t>
      </w:r>
    </w:p>
    <w:p>
      <w:r>
        <w:t>(6) Unternehmensereignisse sind Ereignisse gemäß Artikel 1 Nummer 3 der Durchführungsverordnung (EU) 2018/1212.</w:t>
      </w:r>
    </w:p>
    <w:p>
      <w:pPr>
        <w:pStyle w:val="Heading3"/>
      </w:pPr>
      <w:bookmarkStart w:id="77" w:name="b76"/>
      <w:r>
        <w:t>§ 67b Übermittlung von Informationen durch Intermediäre an die Aktionäre</w:t>
      </w:r>
      <w:r>
        <w:t xml:space="preserve"> </w:t>
      </w:r>
      <w:r>
        <w:rPr>
          <w:rStyle w:val="Suchmarke"/>
        </w:rPr>
        <w:t>#67b#</w:t>
      </w:r>
      <w:bookmarkEnd w:id="77"/>
    </w:p>
    <w:p>
      <w:r>
        <w:t xml:space="preserve">(1) </w:t>
      </w:r>
      <w:r>
        <w:rPr>
          <w:rStyle w:val="Satznummer"/>
        </w:rPr>
        <w:t>1</w:t>
      </w:r>
      <w:r>
        <w:t xml:space="preserve">Der Letztintermediär hat dem Aktionär die nach </w:t>
      </w:r>
      <w:hyperlink w:anchor="b75" w:history="1">
        <w:r>
          <w:rPr>
            <w:color w:val="0A3A8C"/>
            <w:u w:val="single"/>
          </w:rPr>
          <w:t xml:space="preserve">§ 67a</w:t>
        </w:r>
      </w:hyperlink>
      <w:r>
        <w:t xml:space="preserve"> Absatz 1 Satz 1 erhaltenen Informationen nach Artikel 2 Absatz 1 und 4, Artikel 9 Absatz 2 Unterabsatz 1 sowie Absatz 3 und 4 Unterabsatz 3 sowie Artikel 10 der Durchführungsverordnung (EU) 2018/1212 zu übermitteln. </w:t>
      </w:r>
      <w:r>
        <w:rPr>
          <w:rStyle w:val="Satznummer"/>
        </w:rPr>
        <w:t>2</w:t>
      </w:r>
      <w:hyperlink w:anchor="b75" w:history="1">
        <w:r>
          <w:rPr>
            <w:color w:val="0A3A8C"/>
            <w:u w:val="single"/>
          </w:rPr>
          <w:t xml:space="preserve">§ 67a</w:t>
        </w:r>
      </w:hyperlink>
      <w:r>
        <w:t xml:space="preserve"> Absatz 2 Satz 1 und 4 gilt entsprechend.</w:t>
      </w:r>
    </w:p>
    <w:p>
      <w:r>
        <w:t>(2) Absatz 1 gilt auch für Informationen einer börsennotierten Gesellschaft mit Sitz in einem anderen Mitgliedstaat der Europäischen Union.</w:t>
      </w:r>
    </w:p>
    <w:p>
      <w:pPr>
        <w:pStyle w:val="Heading3"/>
      </w:pPr>
      <w:bookmarkStart w:id="78" w:name="b77"/>
      <w:r>
        <w:t>§ 67c Übermittlung von Informationen durch Intermediäre an die Gesellschaft; Nachweis des Anteilsbesitzes</w:t>
      </w:r>
      <w:r>
        <w:t xml:space="preserve"> </w:t>
      </w:r>
      <w:r>
        <w:rPr>
          <w:rStyle w:val="Suchmarke"/>
        </w:rPr>
        <w:t>#67c#</w:t>
      </w:r>
      <w:bookmarkEnd w:id="78"/>
    </w:p>
    <w:p>
      <w:r>
        <w:t xml:space="preserve">(1) </w:t>
      </w:r>
      <w:r>
        <w:rPr>
          <w:rStyle w:val="Satznummer"/>
        </w:rPr>
        <w:t>1</w:t>
      </w:r>
      <w:r>
        <w:t xml:space="preserve">Der Letztintermediär hat die vom Aktionär einer börsennotierten Gesellschaft erhaltenen Informationen über die Ausübung seiner Rechte als Aktionär entweder direkt an die Gesellschaft oder an einen Intermediär in der Kette zu übermitteln. </w:t>
      </w:r>
      <w:r>
        <w:rPr>
          <w:rStyle w:val="Satznummer"/>
        </w:rPr>
        <w:t>2</w:t>
      </w:r>
      <w:r>
        <w:t xml:space="preserve">Intermediäre haben die nach Satz 1 erhaltenen Informationen entweder direkt an die Gesellschaft oder an den jeweils nächsten Intermediär weiterzuleiten. </w:t>
      </w:r>
      <w:r>
        <w:rPr>
          <w:rStyle w:val="Satznummer"/>
        </w:rPr>
        <w:t>3</w:t>
      </w:r>
      <w:r>
        <w:t>Die Sätze 1 und 2 gelten entsprechend für die Weiterleitung von Weisungen des Aktionärs zur Ausübung von Rechten aus Namensaktien börsennotierter Gesellschaften an den im Aktienregister eingetragenen Intermediär.</w:t>
      </w:r>
    </w:p>
    <w:p>
      <w:r>
        <w:t xml:space="preserve">(2) </w:t>
      </w:r>
      <w:r>
        <w:rPr>
          <w:rStyle w:val="Satznummer"/>
        </w:rPr>
        <w:t>1</w:t>
      </w:r>
      <w:r>
        <w:t xml:space="preserve">Der Aktionär kann Anweisungen zur Informationsübermittlung nach Absatz 1 erteilen. </w:t>
      </w:r>
      <w:r>
        <w:rPr>
          <w:rStyle w:val="Satznummer"/>
        </w:rPr>
        <w:t>2</w:t>
      </w:r>
      <w:hyperlink w:anchor="b75" w:history="1">
        <w:r>
          <w:rPr>
            <w:color w:val="0A3A8C"/>
            <w:u w:val="single"/>
          </w:rPr>
          <w:t xml:space="preserve">§ 67a</w:t>
        </w:r>
      </w:hyperlink>
      <w:r>
        <w:t xml:space="preserve"> Absatz 2 Satz 1 gilt entsprechend. </w:t>
      </w:r>
      <w:r>
        <w:rPr>
          <w:rStyle w:val="Satznummer"/>
        </w:rPr>
        <w:t>3</w:t>
      </w:r>
      <w:r>
        <w:t xml:space="preserve">Format, Inhalt und Frist der Informationsübermittlung nach Absatz 1 richten sich nach den Anforderungen in Artikel 2 Absatz 1 und 3, Artikel 8 und 9 Absatz 4 der Durchführungsverordnung (EU) 2018/1212. </w:t>
      </w:r>
      <w:r>
        <w:rPr>
          <w:rStyle w:val="Satznummer"/>
        </w:rPr>
        <w:t>4</w:t>
      </w:r>
      <w:r>
        <w:t xml:space="preserve">Eine rechtzeitige gesammelte Informationsübermittlung und -weiterleitung ist möglich. </w:t>
      </w:r>
      <w:r>
        <w:rPr>
          <w:rStyle w:val="Satznummer"/>
        </w:rPr>
        <w:t>5</w:t>
      </w:r>
      <w:r>
        <w:t>Die Absätze 1 und 2 gelten auch für Informationen einer börsennotierten Gesellschaft mit Sitz in einem anderen Mitgliedstaat der Europäischen Union.</w:t>
      </w:r>
    </w:p>
    <w:p>
      <w:r>
        <w:t>(3) Der Letztintermediär hat dem Aktionär für die Ausübung seiner Rechte in der Hauptversammlung auf Verlangen über dessen Anteilsbesitz unverzüglich einen Nachweis in Textform gemäß den Anforderungen nach Artikel 5 der Durchführungsverordnung (EU) 2018/1212 auszustellen oder diesen nach Absatz 1 der Gesellschaft zu übermitteln.</w:t>
      </w:r>
    </w:p>
    <w:p>
      <w:pPr>
        <w:pStyle w:val="Heading3"/>
      </w:pPr>
      <w:bookmarkStart w:id="79" w:name="b78"/>
      <w:r>
        <w:t>§ 67d Informationsanspruch der Gesellschaft gegenüber Intermediären</w:t>
      </w:r>
      <w:r>
        <w:t xml:space="preserve"> </w:t>
      </w:r>
      <w:r>
        <w:rPr>
          <w:rStyle w:val="Suchmarke"/>
        </w:rPr>
        <w:t>#67d#</w:t>
      </w:r>
      <w:bookmarkEnd w:id="79"/>
    </w:p>
    <w:p>
      <w:r>
        <w:t xml:space="preserve">(1) </w:t>
      </w:r>
      <w:r>
        <w:rPr>
          <w:rStyle w:val="Satznummer"/>
        </w:rPr>
        <w:t>1</w:t>
      </w:r>
      <w:r>
        <w:t xml:space="preserve">Die börsennotierte Gesellschaft kann von einem Intermediär, der Aktien der Gesellschaft verwahrt, Informationen über die Identität der Aktionäre und über den nächsten Intermediär verlangen. </w:t>
      </w:r>
      <w:r>
        <w:rPr>
          <w:rStyle w:val="Satznummer"/>
        </w:rPr>
        <w:t>2</w:t>
      </w:r>
      <w:r>
        <w:t>Format und Inhalt dieses Verlangens richten sich nach der Durchführungsverordnung (EU) 2018/1212.</w:t>
      </w:r>
    </w:p>
    <w:p>
      <w:r>
        <w:t xml:space="preserve">(2) </w:t>
      </w:r>
      <w:r>
        <w:rPr>
          <w:rStyle w:val="Satznummer"/>
        </w:rPr>
        <w:t>1</w:t>
      </w:r>
      <w:r>
        <w:t xml:space="preserve">Informationen über die Identität der Aktionäre sind die Daten nach Artikel 3 Absatz 2 in Verbindung mit Tabelle 2 Buchstabe C der Durchführungsverordnung (EU) 2018/1212. </w:t>
      </w:r>
      <w:r>
        <w:rPr>
          <w:rStyle w:val="Satznummer"/>
        </w:rPr>
        <w:t>2</w:t>
      </w:r>
      <w:r>
        <w:t xml:space="preserve">Bei nicht eingetragenen Gesellschaften sind deren Gesellschafter mit den Informationen nach Satz 1 zu nennen. </w:t>
      </w:r>
      <w:r>
        <w:rPr>
          <w:rStyle w:val="Satznummer"/>
        </w:rPr>
        <w:t>3</w:t>
      </w:r>
      <w:r>
        <w:t>Steht eine Aktie mehreren Berechtigten zu, sind diese mit den Informationen nach Satz 1 zu nennen.</w:t>
      </w:r>
    </w:p>
    <w:p>
      <w:r>
        <w:t>(3) Das Informationsverlangen der Gesellschaft ist von einem Intermediär innerhalb der Frist nach Artikel 9 Absatz 6 Unterabsatz 1, 2 oder 3 Satz 3 und Absatz 7 der Durchführungsverordnung (EU) 2018/1212 an den jeweils nächsten Intermediär weiterzuleiten, bis der Letztintermediär erreicht ist.</w:t>
      </w:r>
    </w:p>
    <w:p>
      <w:r>
        <w:t xml:space="preserve">(4) </w:t>
      </w:r>
      <w:r>
        <w:rPr>
          <w:rStyle w:val="Satznummer"/>
        </w:rPr>
        <w:t>1</w:t>
      </w:r>
      <w:r>
        <w:t xml:space="preserve">Der Letztintermediär hat die Informationen zur Beantwortung des Informationsverlangens der Gesellschaft zu übermitteln. </w:t>
      </w:r>
      <w:r>
        <w:rPr>
          <w:rStyle w:val="Satznummer"/>
        </w:rPr>
        <w:t>2</w:t>
      </w:r>
      <w:r>
        <w:t xml:space="preserve">Das gilt nicht, wenn die Gesellschaft die Übermittlung von einem anderen Intermediär in der Kette verlangt; in diesem Fall sind Intermediäre verpflichtet, die Informationen unverzüglich diesem Intermediär oder dem jeweils nächsten Intermediär weiterzuleiten. </w:t>
      </w:r>
      <w:r>
        <w:rPr>
          <w:rStyle w:val="Satznummer"/>
        </w:rPr>
        <w:t>3</w:t>
      </w:r>
      <w:r>
        <w:t xml:space="preserve">Der Intermediär, von dem die Gesellschaft die Übermittlung verlangt, ist verpflichtet, der Gesellschaft die erhaltenen Informationen unverzüglich zu übermitteln. </w:t>
      </w:r>
      <w:r>
        <w:rPr>
          <w:rStyle w:val="Satznummer"/>
        </w:rPr>
        <w:t>4</w:t>
      </w:r>
      <w:r>
        <w:t>Format, Inhalt und Frist der Antwort auf das Informationsverlangen richten sich nach den Artikeln 2, 3, 9 Absatz 6 Unterabsatz 2 und 3 und Absatz 7 der Durchführungsverordnung (EU) 2018/1212.</w:t>
      </w:r>
    </w:p>
    <w:p>
      <w:r>
        <w:t xml:space="preserve">(5) </w:t>
      </w:r>
      <w:r>
        <w:rPr>
          <w:rStyle w:val="Satznummer"/>
        </w:rPr>
        <w:t>1</w:t>
      </w:r>
      <w:r>
        <w:t xml:space="preserve">Die Absätze 1 bis 4 gelten auch für das Informationsverlangen einer börsennotierten Gesellschaft mit Sitz in einem anderen Mitgliedstaat der Europäischen Union. </w:t>
      </w:r>
      <w:r>
        <w:rPr>
          <w:rStyle w:val="Satznummer"/>
        </w:rPr>
        <w:t>2</w:t>
      </w:r>
      <w:hyperlink w:anchor="b75" w:history="1">
        <w:r>
          <w:rPr>
            <w:color w:val="0A3A8C"/>
            <w:u w:val="single"/>
          </w:rPr>
          <w:t xml:space="preserve">§ 67a</w:t>
        </w:r>
      </w:hyperlink>
      <w:r>
        <w:t xml:space="preserve"> Absatz 2 Satz 1 gilt für die Absätze 1 bis 5 Satz 1 entsprechend.</w:t>
      </w:r>
    </w:p>
    <w:p>
      <w:pPr>
        <w:pStyle w:val="Heading3"/>
      </w:pPr>
      <w:bookmarkStart w:id="80" w:name="b79"/>
      <w:r>
        <w:t>§ 67e Verarbeitung und Berichtigung personenbezogener Daten der Aktionäre</w:t>
      </w:r>
      <w:r>
        <w:t xml:space="preserve"> </w:t>
      </w:r>
      <w:r>
        <w:rPr>
          <w:rStyle w:val="Suchmarke"/>
        </w:rPr>
        <w:t>#67e#</w:t>
      </w:r>
      <w:bookmarkEnd w:id="80"/>
    </w:p>
    <w:p>
      <w:r>
        <w:t>(1) Gesellschaften und Intermediäre dürfen personenbezogene Daten der Aktionäre für die Zwecke der Identifikation, der Kommunikation mit den Aktionären, den Gesellschaften und den Intermediären, der Ausübung der Rechte der Aktionäre, der Führung des Aktienregisters und für die Zusammenarbeit mit den Aktionären verarbeiten.</w:t>
      </w:r>
    </w:p>
    <w:p>
      <w:r>
        <w:t xml:space="preserve">(2) </w:t>
      </w:r>
      <w:r>
        <w:rPr>
          <w:rStyle w:val="Satznummer"/>
        </w:rPr>
        <w:t>1</w:t>
      </w:r>
      <w:r>
        <w:t xml:space="preserve">Erlangen Gesellschaften oder Intermediäre Kenntnis davon, dass ein Aktionär nicht mehr Aktionär der Gesellschaft ist, dürfen sie dessen personenbezogene Daten vorbehaltlich anderer gesetzlicher Regelungen nur noch für höchstens zwölf Monate speichern. </w:t>
      </w:r>
      <w:r>
        <w:rPr>
          <w:rStyle w:val="Satznummer"/>
        </w:rPr>
        <w:t>2</w:t>
      </w:r>
      <w:r>
        <w:t>Eine längere Speicherung durch die Gesellschaft ist zudem zulässig, solange dies für Rechtsverfahren erforderlich ist.</w:t>
      </w:r>
    </w:p>
    <w:p>
      <w:r>
        <w:t xml:space="preserve">(3) Mit der Offenlegung von Informationen über die Identität von Aktionären gegenüber der Gesellschaft oder weiterleitungspflichtigen Intermediären nach </w:t>
      </w:r>
      <w:hyperlink w:anchor="b78" w:history="1">
        <w:r>
          <w:rPr>
            <w:color w:val="0A3A8C"/>
            <w:u w:val="single"/>
          </w:rPr>
          <w:t xml:space="preserve">§ 67d</w:t>
        </w:r>
      </w:hyperlink>
      <w:r>
        <w:t xml:space="preserve"> verstoßen Intermediäre nicht gegen vertragliche oder gesetzliche Verbote.</w:t>
      </w:r>
    </w:p>
    <w:p>
      <w:r>
        <w:t>(4) Wer mit unvollständigen oder unrichtigen Informationen als Aktionär identifiziert wurde, kann von der Gesellschaft und von dem Intermediär, der diese Informationen erteilt hat, die unverzügliche Berichtigung verlangen.</w:t>
      </w:r>
    </w:p>
    <w:p>
      <w:pPr>
        <w:pStyle w:val="Heading3"/>
      </w:pPr>
      <w:bookmarkStart w:id="81" w:name="b80"/>
      <w:r>
        <w:t>§ 67f Kosten; Verordnungsermächtigung</w:t>
      </w:r>
      <w:r>
        <w:t xml:space="preserve"> </w:t>
      </w:r>
      <w:r>
        <w:rPr>
          <w:rStyle w:val="Suchmarke"/>
        </w:rPr>
        <w:t>#67f#</w:t>
      </w:r>
      <w:bookmarkEnd w:id="81"/>
    </w:p>
    <w:p>
      <w:r>
        <w:t xml:space="preserve">(1) </w:t>
      </w:r>
      <w:r>
        <w:rPr>
          <w:rStyle w:val="Satznummer"/>
        </w:rPr>
        <w:t>1</w:t>
      </w:r>
      <w:r>
        <w:t xml:space="preserve">Vorbehaltlich der Regelungen in Satz 2 trägt die Gesellschaft die Kosten für die nach den </w:t>
      </w:r>
      <w:hyperlink w:anchor="b75" w:history="1">
        <w:r>
          <w:rPr>
            <w:color w:val="0A3A8C"/>
            <w:u w:val="single"/>
          </w:rPr>
          <w:t xml:space="preserve">§§ 67a</w:t>
        </w:r>
      </w:hyperlink>
      <w:r>
        <w:t xml:space="preserve"> bis </w:t>
      </w:r>
      <w:hyperlink w:anchor="b78" w:history="1">
        <w:r>
          <w:rPr>
            <w:color w:val="0A3A8C"/>
            <w:u w:val="single"/>
          </w:rPr>
          <w:t xml:space="preserve">67d</w:t>
        </w:r>
      </w:hyperlink>
      <w:r>
        <w:t xml:space="preserve">, auch in Verbindung mit </w:t>
      </w:r>
      <w:hyperlink w:anchor="b157" w:history="1">
        <w:r>
          <w:rPr>
            <w:color w:val="0A3A8C"/>
            <w:u w:val="single"/>
          </w:rPr>
          <w:t xml:space="preserve">§ 125</w:t>
        </w:r>
      </w:hyperlink>
      <w:r>
        <w:t xml:space="preserve"> Absatz 1, 2 und 5, und nach </w:t>
      </w:r>
      <w:hyperlink w:anchor="b146" w:history="1">
        <w:r>
          <w:rPr>
            <w:color w:val="0A3A8C"/>
            <w:u w:val="single"/>
          </w:rPr>
          <w:t xml:space="preserve">§ 118</w:t>
        </w:r>
      </w:hyperlink>
      <w:r>
        <w:t xml:space="preserve"> Absatz 1 Satz 3 bis 5 sowie Absatz 2 Satz 2 und </w:t>
      </w:r>
      <w:hyperlink w:anchor="b147" w:history="1">
        <w:r>
          <w:rPr>
            <w:color w:val="0A3A8C"/>
            <w:u w:val="single"/>
          </w:rPr>
          <w:t xml:space="preserve">§ 118a</w:t>
        </w:r>
      </w:hyperlink>
      <w:r>
        <w:t xml:space="preserve"> Absatz 1 Satz 4 notwendigen Aufwendungen der Intermediäre, soweit diese auf Methoden beruhen, die dem jeweiligen Stand der Technik entsprechen. </w:t>
      </w:r>
      <w:r>
        <w:rPr>
          <w:rStyle w:val="Satznummer"/>
        </w:rPr>
        <w:t>2</w:t>
      </w:r>
      <w:r>
        <w:t>Die folgenden Kosten sind hiervon ausgenommen:</w:t>
      </w:r>
    </w:p>
    <w:p>
      <w:pPr>
        <w:tabs>
          <w:tab w:pos="567" w:val="left"/>
        </w:tabs>
        <w:ind w:left="567" w:hanging="567"/>
      </w:pPr>
      <w:r>
        <w:t>1.</w:t>
      </w:r>
      <w:r>
        <w:tab/>
      </w:r>
      <w:r>
        <w:t xml:space="preserve">die Kosten für die notwendigen Aufwendungen der Letztintermediäre für die nichtelektronische Übermittlung von Informationen an den Aktionär gemäß </w:t>
      </w:r>
      <w:hyperlink w:anchor="b76" w:history="1">
        <w:r>
          <w:rPr>
            <w:color w:val="0A3A8C"/>
            <w:u w:val="single"/>
          </w:rPr>
          <w:t xml:space="preserve">§ 67b</w:t>
        </w:r>
      </w:hyperlink>
      <w:r>
        <w:t xml:space="preserve"> Absatz 1 Satz 1 und</w:t>
      </w:r>
    </w:p>
    <w:p>
      <w:pPr>
        <w:tabs>
          <w:tab w:pos="567" w:val="left"/>
        </w:tabs>
        <w:ind w:left="567" w:hanging="567"/>
      </w:pPr>
      <w:r>
        <w:t>2.</w:t>
      </w:r>
      <w:r>
        <w:tab/>
      </w:r>
      <w:r>
        <w:t xml:space="preserve">bei der Gesellschaft, die Namensaktien ausgegeben hat, die Kosten für die notwendigen Aufwendungen der Intermediäre für die Übermittlung und Weiterleitung von Informationen vom im Aktienregister eingetragenen Intermediär an den Aktionär nach </w:t>
      </w:r>
      <w:hyperlink w:anchor="b157" w:history="1">
        <w:r>
          <w:rPr>
            <w:color w:val="0A3A8C"/>
            <w:u w:val="single"/>
          </w:rPr>
          <w:t xml:space="preserve">§ 125</w:t>
        </w:r>
      </w:hyperlink>
      <w:r>
        <w:t xml:space="preserve"> Absatz 2 und 5 in Verbindung mit den </w:t>
      </w:r>
      <w:hyperlink w:anchor="b75" w:history="1">
        <w:r>
          <w:rPr>
            <w:color w:val="0A3A8C"/>
            <w:u w:val="single"/>
          </w:rPr>
          <w:t xml:space="preserve">§§ 67a</w:t>
        </w:r>
      </w:hyperlink>
      <w:r>
        <w:t xml:space="preserve"> und </w:t>
      </w:r>
      <w:hyperlink w:anchor="b76" w:history="1">
        <w:r>
          <w:rPr>
            <w:color w:val="0A3A8C"/>
            <w:u w:val="single"/>
          </w:rPr>
          <w:t xml:space="preserve">67b</w:t>
        </w:r>
      </w:hyperlink>
      <w:r>
        <w:t>.</w:t>
      </w:r>
    </w:p>
    <w:p>
      <w:r>
        <w:rPr>
          <w:rStyle w:val="Satznummer"/>
        </w:rPr>
        <w:t>3</w:t>
      </w:r>
      <w:r>
        <w:t xml:space="preserve">Die Intermediäre legen die Entgelte für die Aufwendungen für jede Dienstleistung, die nach den </w:t>
      </w:r>
      <w:hyperlink w:anchor="b75" w:history="1">
        <w:r>
          <w:rPr>
            <w:color w:val="0A3A8C"/>
            <w:u w:val="single"/>
          </w:rPr>
          <w:t xml:space="preserve">§§ 67a</w:t>
        </w:r>
      </w:hyperlink>
      <w:r>
        <w:t xml:space="preserve"> bis </w:t>
      </w:r>
      <w:hyperlink w:anchor="b79" w:history="1">
        <w:r>
          <w:rPr>
            <w:color w:val="0A3A8C"/>
            <w:u w:val="single"/>
          </w:rPr>
          <w:t xml:space="preserve">67e</w:t>
        </w:r>
      </w:hyperlink>
      <w:r>
        <w:t xml:space="preserve">, </w:t>
      </w:r>
      <w:hyperlink w:anchor="b146" w:history="1">
        <w:r>
          <w:rPr>
            <w:color w:val="0A3A8C"/>
            <w:u w:val="single"/>
          </w:rPr>
          <w:t xml:space="preserve">§ 118</w:t>
        </w:r>
      </w:hyperlink>
      <w:r>
        <w:t xml:space="preserve"> Absatz 1 Satz 3 bis 5 sowie Absatz 2 Satz 2, </w:t>
      </w:r>
      <w:hyperlink w:anchor="b147" w:history="1">
        <w:r>
          <w:rPr>
            <w:color w:val="0A3A8C"/>
            <w:u w:val="single"/>
          </w:rPr>
          <w:t xml:space="preserve">§ 118a</w:t>
        </w:r>
      </w:hyperlink>
      <w:r>
        <w:t xml:space="preserve"> Absatz 1 Satz 4, </w:t>
      </w:r>
      <w:hyperlink w:anchor="b157" w:history="1">
        <w:r>
          <w:rPr>
            <w:color w:val="0A3A8C"/>
            <w:u w:val="single"/>
          </w:rPr>
          <w:t xml:space="preserve">§ 125</w:t>
        </w:r>
      </w:hyperlink>
      <w:r>
        <w:t xml:space="preserve"> Absatz 1 Satz 1, Absatz 2 und 5 und </w:t>
      </w:r>
      <w:hyperlink w:anchor="b163" w:history="1">
        <w:r>
          <w:rPr>
            <w:color w:val="0A3A8C"/>
            <w:u w:val="single"/>
          </w:rPr>
          <w:t xml:space="preserve">§ 129</w:t>
        </w:r>
      </w:hyperlink>
      <w:r>
        <w:t xml:space="preserve"> Absatz 5 erbracht wird, offen. </w:t>
      </w:r>
      <w:r>
        <w:rPr>
          <w:rStyle w:val="Satznummer"/>
        </w:rPr>
        <w:t>4</w:t>
      </w:r>
      <w:r>
        <w:t xml:space="preserve">Die Offenlegung erfolgt getrennt gegenüber der Gesellschaft und denjenigen Aktionären, für die sie die Dienstleistung erbringen. </w:t>
      </w:r>
      <w:r>
        <w:rPr>
          <w:rStyle w:val="Satznummer"/>
        </w:rPr>
        <w:t>5</w:t>
      </w:r>
      <w:r>
        <w:t>Unterschiede zwischen den Entgelten für die Ausübung von Rechten im Inland und in grenzüberschreitenden Fällen sind nur zulässig, wenn sie gerechtfertigt sind und den Unterschieden bei den tatsächlichen Kosten, die für die Erbringung der Dienstleistungen entstanden sind, entsprechen.</w:t>
      </w:r>
    </w:p>
    <w:p>
      <w:r>
        <w:t xml:space="preserve">(2) Unbeschadet sonstiger Regelungen nach diesem Gesetz sind für die Pflichten nach den </w:t>
      </w:r>
      <w:hyperlink w:anchor="b75" w:history="1">
        <w:r>
          <w:rPr>
            <w:color w:val="0A3A8C"/>
            <w:u w:val="single"/>
          </w:rPr>
          <w:t xml:space="preserve">§§ 67a</w:t>
        </w:r>
      </w:hyperlink>
      <w:r>
        <w:t xml:space="preserve"> bis </w:t>
      </w:r>
      <w:hyperlink w:anchor="b79" w:history="1">
        <w:r>
          <w:rPr>
            <w:color w:val="0A3A8C"/>
            <w:u w:val="single"/>
          </w:rPr>
          <w:t xml:space="preserve">67e</w:t>
        </w:r>
      </w:hyperlink>
      <w:r>
        <w:t xml:space="preserve">, </w:t>
      </w:r>
      <w:hyperlink w:anchor="b157" w:history="1">
        <w:r>
          <w:rPr>
            <w:color w:val="0A3A8C"/>
            <w:u w:val="single"/>
          </w:rPr>
          <w:t xml:space="preserve">125</w:t>
        </w:r>
      </w:hyperlink>
      <w:r>
        <w:t xml:space="preserve"> Absatz 1 Satz 1, Absatz 2 und 5 sowie für die Bestätigungen nach </w:t>
      </w:r>
      <w:hyperlink w:anchor="b146" w:history="1">
        <w:r>
          <w:rPr>
            <w:color w:val="0A3A8C"/>
            <w:u w:val="single"/>
          </w:rPr>
          <w:t xml:space="preserve">§ 118</w:t>
        </w:r>
      </w:hyperlink>
      <w:r>
        <w:t xml:space="preserve"> Absatz 1 Satz 3 bis 5 sowie Absatz 2 Satz 2, </w:t>
      </w:r>
      <w:hyperlink w:anchor="b147" w:history="1">
        <w:r>
          <w:rPr>
            <w:color w:val="0A3A8C"/>
            <w:u w:val="single"/>
          </w:rPr>
          <w:t xml:space="preserve">§ 118a</w:t>
        </w:r>
      </w:hyperlink>
      <w:r>
        <w:t xml:space="preserve"> Absatz 1 Satz 4 und </w:t>
      </w:r>
      <w:hyperlink w:anchor="b163" w:history="1">
        <w:r>
          <w:rPr>
            <w:color w:val="0A3A8C"/>
            <w:u w:val="single"/>
          </w:rPr>
          <w:t xml:space="preserve">§ 129</w:t>
        </w:r>
      </w:hyperlink>
      <w:r>
        <w:t xml:space="preserve"> Absatz 5 die Anforderungen der Durchführungsverordnung (EU) 2018/1212 zu beachten.</w:t>
      </w:r>
    </w:p>
    <w:p>
      <w:r>
        <w:t xml:space="preserve">(3) </w:t>
      </w:r>
      <w:r>
        <w:rPr>
          <w:rStyle w:val="Satznummer"/>
        </w:rPr>
        <w:t>1</w:t>
      </w:r>
      <w:r>
        <w:t>Das Bundesministerium der Justiz und für Verbraucherschutz wird ermächtigt, im Einvernehmen mit dem Bundesministerium für Wirtschaft und Energie und dem Bundesministerium der Finanzen durch Rechtsverordnung die Einzelheiten für den Ersatz von Aufwendungen der Intermediäre durch die Gesellschaft für die folgenden Handlungen zu regeln:</w:t>
      </w:r>
    </w:p>
    <w:p>
      <w:pPr>
        <w:tabs>
          <w:tab w:pos="567" w:val="left"/>
        </w:tabs>
        <w:ind w:left="567" w:hanging="567"/>
      </w:pPr>
      <w:r>
        <w:t>1.</w:t>
      </w:r>
      <w:r>
        <w:tab/>
      </w:r>
      <w:r>
        <w:t xml:space="preserve">die Übermittlung der Angaben gemäß </w:t>
      </w:r>
      <w:hyperlink w:anchor="b74" w:history="1">
        <w:r>
          <w:rPr>
            <w:color w:val="0A3A8C"/>
            <w:u w:val="single"/>
          </w:rPr>
          <w:t xml:space="preserve">§ 67</w:t>
        </w:r>
      </w:hyperlink>
      <w:r>
        <w:t xml:space="preserve"> Absatz 4,</w:t>
      </w:r>
    </w:p>
    <w:p>
      <w:pPr>
        <w:tabs>
          <w:tab w:pos="567" w:val="left"/>
        </w:tabs>
        <w:ind w:left="567" w:hanging="567"/>
      </w:pPr>
      <w:r>
        <w:t>2.</w:t>
      </w:r>
      <w:r>
        <w:tab/>
      </w:r>
      <w:r>
        <w:t xml:space="preserve">die Übermittlung und Weiterleitung von Informationen und Mitteilungen gemäß den </w:t>
      </w:r>
      <w:hyperlink w:anchor="b75" w:history="1">
        <w:r>
          <w:rPr>
            <w:color w:val="0A3A8C"/>
            <w:u w:val="single"/>
          </w:rPr>
          <w:t xml:space="preserve">§§ 67a</w:t>
        </w:r>
      </w:hyperlink>
      <w:r>
        <w:t xml:space="preserve"> bis </w:t>
      </w:r>
      <w:hyperlink w:anchor="b78" w:history="1">
        <w:r>
          <w:rPr>
            <w:color w:val="0A3A8C"/>
            <w:u w:val="single"/>
          </w:rPr>
          <w:t xml:space="preserve">67d</w:t>
        </w:r>
      </w:hyperlink>
      <w:r>
        <w:t xml:space="preserve">, </w:t>
      </w:r>
      <w:hyperlink w:anchor="b146" w:history="1">
        <w:r>
          <w:rPr>
            <w:color w:val="0A3A8C"/>
            <w:u w:val="single"/>
          </w:rPr>
          <w:t xml:space="preserve">118</w:t>
        </w:r>
      </w:hyperlink>
      <w:r>
        <w:t xml:space="preserve"> Absatz 1 Satz 3 bis 5 sowie Absatz 2 Satz 2, </w:t>
      </w:r>
      <w:hyperlink w:anchor="b147" w:history="1">
        <w:r>
          <w:rPr>
            <w:color w:val="0A3A8C"/>
            <w:u w:val="single"/>
          </w:rPr>
          <w:t xml:space="preserve">§ 118a</w:t>
        </w:r>
      </w:hyperlink>
      <w:r>
        <w:t xml:space="preserve"> Absatz 1 Satz 4 und </w:t>
      </w:r>
      <w:hyperlink w:anchor="b163" w:history="1">
        <w:r>
          <w:rPr>
            <w:color w:val="0A3A8C"/>
            <w:u w:val="single"/>
          </w:rPr>
          <w:t xml:space="preserve">§ 129</w:t>
        </w:r>
      </w:hyperlink>
      <w:r>
        <w:t xml:space="preserve"> Absatz 5 und</w:t>
      </w:r>
    </w:p>
    <w:p>
      <w:pPr>
        <w:tabs>
          <w:tab w:pos="567" w:val="left"/>
        </w:tabs>
        <w:ind w:left="567" w:hanging="567"/>
      </w:pPr>
      <w:r>
        <w:t>3.</w:t>
      </w:r>
      <w:r>
        <w:tab/>
      </w:r>
      <w:r>
        <w:t xml:space="preserve">die Vervielfältigung, Übermittlung und Weiterleitung der Mitteilungen gemäß </w:t>
      </w:r>
      <w:hyperlink w:anchor="b157" w:history="1">
        <w:r>
          <w:rPr>
            <w:color w:val="0A3A8C"/>
            <w:u w:val="single"/>
          </w:rPr>
          <w:t xml:space="preserve">§ 125</w:t>
        </w:r>
      </w:hyperlink>
      <w:r>
        <w:t xml:space="preserve"> Absatz 1, 2 und 5 in Verbindung mit den </w:t>
      </w:r>
      <w:hyperlink w:anchor="b75" w:history="1">
        <w:r>
          <w:rPr>
            <w:color w:val="0A3A8C"/>
            <w:u w:val="single"/>
          </w:rPr>
          <w:t xml:space="preserve">§§ 67a</w:t>
        </w:r>
      </w:hyperlink>
      <w:r>
        <w:t xml:space="preserve"> und </w:t>
      </w:r>
      <w:hyperlink w:anchor="b76" w:history="1">
        <w:r>
          <w:rPr>
            <w:color w:val="0A3A8C"/>
            <w:u w:val="single"/>
          </w:rPr>
          <w:t xml:space="preserve">67b</w:t>
        </w:r>
      </w:hyperlink>
      <w:r>
        <w:t>.</w:t>
      </w:r>
    </w:p>
    <w:p>
      <w:r>
        <w:rPr>
          <w:rStyle w:val="Satznummer"/>
        </w:rPr>
        <w:t>2</w:t>
      </w:r>
      <w:r>
        <w:t xml:space="preserve">Es können Pauschbeträge festgesetzt werden. </w:t>
      </w:r>
      <w:r>
        <w:rPr>
          <w:rStyle w:val="Satznummer"/>
        </w:rPr>
        <w:t>3</w:t>
      </w:r>
      <w:r>
        <w:t>Die Rechtsverordnung bedarf nicht der Zustimmung des Bundesrates.</w:t>
      </w:r>
    </w:p>
    <w:p>
      <w:pPr>
        <w:pStyle w:val="Heading3"/>
      </w:pPr>
      <w:bookmarkStart w:id="82" w:name="b81"/>
      <w:r>
        <w:t>§ 68 Übertragung von Namensaktien. Vinkulierung</w:t>
      </w:r>
      <w:r>
        <w:t xml:space="preserve"> </w:t>
      </w:r>
      <w:r>
        <w:rPr>
          <w:rStyle w:val="Suchmarke"/>
        </w:rPr>
        <w:t>#68#</w:t>
      </w:r>
      <w:bookmarkEnd w:id="82"/>
    </w:p>
    <w:p>
      <w:r>
        <w:t xml:space="preserve">(1) </w:t>
      </w:r>
      <w:r>
        <w:rPr>
          <w:rStyle w:val="Satznummer"/>
        </w:rPr>
        <w:t>1</w:t>
      </w:r>
      <w:r>
        <w:t xml:space="preserve">Namensaktien können auch durch Indossament übertragen werden. </w:t>
      </w:r>
      <w:r>
        <w:rPr>
          <w:rStyle w:val="Satznummer"/>
        </w:rPr>
        <w:t>2</w:t>
      </w:r>
      <w:r>
        <w:t>Für die Form des Indossaments, den Rechtsausweis des Inhabers und seine Verpflichtung zur Herausgabe gelten sinngemäß Artikel 12, 13 und 16 des Wechselgesetzes.</w:t>
      </w:r>
    </w:p>
    <w:p>
      <w:r>
        <w:t xml:space="preserve">(2) </w:t>
      </w:r>
      <w:r>
        <w:rPr>
          <w:rStyle w:val="Satznummer"/>
        </w:rPr>
        <w:t>1</w:t>
      </w:r>
      <w:r>
        <w:t xml:space="preserve">Die Satzung kann die Übertragung an die Zustimmung der Gesellschaft binden. </w:t>
      </w:r>
      <w:r>
        <w:rPr>
          <w:rStyle w:val="Satznummer"/>
        </w:rPr>
        <w:t>2</w:t>
      </w:r>
      <w:r>
        <w:t xml:space="preserve">Die Zustimmung erteilt der Vorstand. </w:t>
      </w:r>
      <w:r>
        <w:rPr>
          <w:rStyle w:val="Satznummer"/>
        </w:rPr>
        <w:t>3</w:t>
      </w:r>
      <w:r>
        <w:t xml:space="preserve">Die Satzung kann jedoch bestimmen, daß der Aufsichtsrat oder die Hauptversammlung über die Erteilung der Zustimmung beschließt. </w:t>
      </w:r>
      <w:r>
        <w:rPr>
          <w:rStyle w:val="Satznummer"/>
        </w:rPr>
        <w:t>4</w:t>
      </w:r>
      <w:r>
        <w:t>Die Satzung kann die Gründe bestimmen, aus denen die Zustimmung verweigert werden darf.</w:t>
      </w:r>
    </w:p>
    <w:p>
      <w:r>
        <w:t>(3) Bei Übertragung durch Indossament ist die Gesellschaft verpflichtet, die Ordnungsmäßigkeit der Reihe der Indossamente, nicht aber die Unterschriften zu prüfen.</w:t>
      </w:r>
    </w:p>
    <w:p>
      <w:r>
        <w:t>(4) Diese Vorschriften gelten sinngemäß für Zwischenscheine.</w:t>
      </w:r>
    </w:p>
    <w:p>
      <w:pPr>
        <w:pStyle w:val="Heading3"/>
      </w:pPr>
      <w:bookmarkStart w:id="83" w:name="b82"/>
      <w:r>
        <w:t>§ 69 Rechtsgemeinschaft an einer Aktie</w:t>
      </w:r>
      <w:r>
        <w:t xml:space="preserve"> </w:t>
      </w:r>
      <w:r>
        <w:rPr>
          <w:rStyle w:val="Suchmarke"/>
        </w:rPr>
        <w:t>#69#</w:t>
      </w:r>
      <w:bookmarkEnd w:id="83"/>
    </w:p>
    <w:p>
      <w:r>
        <w:t>(1) Steht eine Aktie mehreren Berechtigten zu, so können sie die Rechte aus der Aktie nur durch einen gemeinschaftlichen Vertreter ausüben.</w:t>
      </w:r>
    </w:p>
    <w:p>
      <w:r>
        <w:t>(2) Für die Leistungen auf die Aktie haften sie als Gesamtschuldner.</w:t>
      </w:r>
    </w:p>
    <w:p>
      <w:r>
        <w:t xml:space="preserve">(3) </w:t>
      </w:r>
      <w:r>
        <w:rPr>
          <w:rStyle w:val="Satznummer"/>
        </w:rPr>
        <w:t>1</w:t>
      </w:r>
      <w:r>
        <w:t xml:space="preserve">Hat die Gesellschaft eine Willenserklärung dem Aktionär gegenüber abzugeben, so genügt, wenn die Berechtigten der Gesellschaft keinen gemeinschaftlichen Vertreter benannt haben, die Abgabe der Erklärung gegenüber einem Berechtigten. </w:t>
      </w:r>
      <w:r>
        <w:rPr>
          <w:rStyle w:val="Satznummer"/>
        </w:rPr>
        <w:t>2</w:t>
      </w:r>
      <w:r>
        <w:t>Bei mehreren Erben eines Aktionärs gilt dies nur für Willenserklärungen, die nach Ablauf eines Monats seit dem Anfall der Erbschaft abgegeben werden.</w:t>
      </w:r>
    </w:p>
    <w:p>
      <w:pPr>
        <w:pStyle w:val="Heading3"/>
      </w:pPr>
      <w:bookmarkStart w:id="84" w:name="b83"/>
      <w:r>
        <w:t>§ 70 Berechnung der Aktienbesitzzeit</w:t>
      </w:r>
      <w:r>
        <w:t xml:space="preserve"> </w:t>
      </w:r>
      <w:r>
        <w:rPr>
          <w:rStyle w:val="Suchmarke"/>
        </w:rPr>
        <w:t>#70#</w:t>
      </w:r>
      <w:bookmarkEnd w:id="84"/>
    </w:p>
    <w:p>
      <w:r>
        <w:rPr>
          <w:rStyle w:val="Satznummer"/>
        </w:rPr>
        <w:t>1</w:t>
      </w:r>
      <w:r>
        <w:t xml:space="preserve">Ist die Ausübung von Rechten aus der Aktie davon abhängig, dass der Aktionär während eines bestimmten Zeitraums Inhaber der Aktie gewesen ist, so steht dem Eigentum ein Anspruch auf Übereignung gegen ein Kreditinstitut, ein Finanzdienstleistungsinstitut, ein Wertpapierinstitut oder ein nach § 53 Absatz 1 Satz 1 oder § 53b Absatz 1 Satz 1 oder Absatz 7 des Kreditwesengesetzes tätiges Unternehmen gleich. </w:t>
      </w:r>
      <w:r>
        <w:rPr>
          <w:rStyle w:val="Satznummer"/>
        </w:rPr>
        <w:t>2</w:t>
      </w:r>
      <w:r>
        <w:t>Die Eigentumszeit eines Rechtsvorgängers wird dem Aktionär zugerechnet, wenn er die Aktie unentgeltlich, von seinem Treuhänder, als Gesamtrechtsnachfolger, bei Auseinandersetzung einer Gemeinschaft oder bei einer Bestandsübertragung nach § 13 des Versicherungsaufsichtsgesetzes oder § 14 des Gesetzes über Bausparkassen erworben hat.</w:t>
      </w:r>
    </w:p>
    <w:p>
      <w:pPr>
        <w:pStyle w:val="Heading3"/>
      </w:pPr>
      <w:bookmarkStart w:id="85" w:name="b84"/>
      <w:r>
        <w:t>§ 71 Erwerb eigener Aktien</w:t>
      </w:r>
      <w:r>
        <w:t xml:space="preserve"> </w:t>
      </w:r>
      <w:r>
        <w:rPr>
          <w:rStyle w:val="Suchmarke"/>
        </w:rPr>
        <w:t>#71#</w:t>
      </w:r>
      <w:bookmarkEnd w:id="85"/>
    </w:p>
    <w:p>
      <w:r>
        <w:t>(1) Die Gesellschaft darf eigene Aktien nur erwerben,</w:t>
      </w:r>
    </w:p>
    <w:p>
      <w:pPr>
        <w:tabs>
          <w:tab w:pos="567" w:val="left"/>
        </w:tabs>
        <w:ind w:left="567" w:hanging="567"/>
      </w:pPr>
      <w:r>
        <w:t>1.</w:t>
      </w:r>
      <w:r>
        <w:tab/>
      </w:r>
      <w:r>
        <w:t>wenn der Erwerb notwendig ist, um einen schweren, unmittelbar bevorstehenden Schaden von der Gesellschaft abzuwenden,</w:t>
      </w:r>
    </w:p>
    <w:p>
      <w:pPr>
        <w:tabs>
          <w:tab w:pos="567" w:val="left"/>
        </w:tabs>
        <w:ind w:left="567" w:hanging="567"/>
      </w:pPr>
      <w:r>
        <w:t>2.</w:t>
      </w:r>
      <w:r>
        <w:tab/>
      </w:r>
      <w:r>
        <w:t>wenn die Aktien Personen, die im Arbeitsverhältnis zu der Gesellschaft oder einem mit ihr verbundenen Unternehmen stehen oder standen, zum Erwerb angeboten werden sollen,</w:t>
      </w:r>
    </w:p>
    <w:p>
      <w:pPr>
        <w:tabs>
          <w:tab w:pos="567" w:val="left"/>
        </w:tabs>
        <w:ind w:left="567" w:hanging="567"/>
      </w:pPr>
      <w:r>
        <w:t>3.</w:t>
      </w:r>
      <w:r>
        <w:tab/>
      </w:r>
      <w:r>
        <w:t xml:space="preserve">wenn der Erwerb geschieht, um Aktionäre nach </w:t>
      </w:r>
      <w:hyperlink w:anchor="b395" w:history="1">
        <w:r>
          <w:rPr>
            <w:color w:val="0A3A8C"/>
            <w:u w:val="single"/>
          </w:rPr>
          <w:t xml:space="preserve">§ 305</w:t>
        </w:r>
      </w:hyperlink>
      <w:r>
        <w:t xml:space="preserve"> Abs. 2, </w:t>
      </w:r>
      <w:hyperlink w:anchor="b416" w:history="1">
        <w:r>
          <w:rPr>
            <w:color w:val="0A3A8C"/>
            <w:u w:val="single"/>
          </w:rPr>
          <w:t xml:space="preserve">§ 320b</w:t>
        </w:r>
      </w:hyperlink>
      <w:r>
        <w:t xml:space="preserve"> oder nach </w:t>
      </w:r>
      <w:hyperlink w:anchor="b32" w:history="1">
        <w:r>
          <w:rPr>
            <w:color w:val="0A3A8C"/>
            <w:u w:val="single"/>
          </w:rPr>
          <w:t xml:space="preserve">§ 29</w:t>
        </w:r>
      </w:hyperlink>
      <w:r>
        <w:t xml:space="preserve"> Abs. 1, </w:t>
      </w:r>
      <w:hyperlink w:anchor="b157" w:history="1">
        <w:r>
          <w:rPr>
            <w:color w:val="0A3A8C"/>
            <w:u w:val="single"/>
          </w:rPr>
          <w:t xml:space="preserve">§ 125</w:t>
        </w:r>
      </w:hyperlink>
      <w:r>
        <w:t xml:space="preserve"> Satz 1 in Verbindung mit </w:t>
      </w:r>
      <w:hyperlink w:anchor="b32" w:history="1">
        <w:r>
          <w:rPr>
            <w:color w:val="0A3A8C"/>
            <w:u w:val="single"/>
          </w:rPr>
          <w:t xml:space="preserve">§ 29</w:t>
        </w:r>
      </w:hyperlink>
      <w:r>
        <w:t xml:space="preserve"> Abs. 1, </w:t>
      </w:r>
      <w:hyperlink w:anchor="b261" w:history="1">
        <w:r>
          <w:rPr>
            <w:color w:val="0A3A8C"/>
            <w:u w:val="single"/>
          </w:rPr>
          <w:t xml:space="preserve">§ 207</w:t>
        </w:r>
      </w:hyperlink>
      <w:r>
        <w:t xml:space="preserve"> Abs. 1 Satz 1, </w:t>
      </w:r>
      <w:hyperlink w:anchor="b406" w:history="1">
        <w:r>
          <w:rPr>
            <w:color w:val="0A3A8C"/>
            <w:u w:val="single"/>
          </w:rPr>
          <w:t xml:space="preserve">§ 313</w:t>
        </w:r>
      </w:hyperlink>
      <w:r>
        <w:t xml:space="preserve"> Absatz 1, auch in Verbindung mit </w:t>
      </w:r>
      <w:hyperlink w:anchor="b423" w:history="1">
        <w:r>
          <w:rPr>
            <w:color w:val="0A3A8C"/>
            <w:u w:val="single"/>
          </w:rPr>
          <w:t xml:space="preserve">§ 327</w:t>
        </w:r>
      </w:hyperlink>
      <w:r>
        <w:t>, oder § 340 Absatz 1 des Umwandlungsgesetzes abzufinden,</w:t>
      </w:r>
    </w:p>
    <w:p>
      <w:pPr>
        <w:tabs>
          <w:tab w:pos="567" w:val="left"/>
        </w:tabs>
        <w:ind w:left="567" w:hanging="567"/>
      </w:pPr>
      <w:r>
        <w:t>4.</w:t>
      </w:r>
      <w:r>
        <w:tab/>
      </w:r>
      <w:r>
        <w:t>wenn der Erwerb unentgeltlich geschieht oder ein Kreditinstitut oder Wertpapierinstitut mit dem Erwerb eine Einkaufskommission ausführt,</w:t>
      </w:r>
    </w:p>
    <w:p>
      <w:pPr>
        <w:tabs>
          <w:tab w:pos="567" w:val="left"/>
        </w:tabs>
        <w:ind w:left="567" w:hanging="567"/>
      </w:pPr>
      <w:r>
        <w:t>5.</w:t>
      </w:r>
      <w:r>
        <w:tab/>
      </w:r>
      <w:r>
        <w:t>durch Gesamtrechtsnachfolge,</w:t>
      </w:r>
    </w:p>
    <w:p>
      <w:pPr>
        <w:tabs>
          <w:tab w:pos="567" w:val="left"/>
        </w:tabs>
        <w:ind w:left="567" w:hanging="567"/>
      </w:pPr>
      <w:r>
        <w:t>6.</w:t>
      </w:r>
      <w:r>
        <w:tab/>
      </w:r>
      <w:r>
        <w:t>auf Grund eines Beschlusses der Hauptversammlung zur Einziehung nach den Vorschriften über die Herabsetzung des Grundkapitals,</w:t>
      </w:r>
    </w:p>
    <w:p>
      <w:pPr>
        <w:tabs>
          <w:tab w:pos="567" w:val="left"/>
        </w:tabs>
        <w:ind w:left="567" w:hanging="567"/>
      </w:pPr>
      <w:r>
        <w:t>7.</w:t>
      </w:r>
      <w:r>
        <w:tab/>
      </w:r>
      <w:r>
        <w:t xml:space="preserve">wenn sie ein Kreditinstitut, ein Finanzdienstleistungsinstitut, ein Wertpapierinstitut oder ein Finanzunternehmen ist, aufgrund eines Beschlusses der Hauptversammlung zum Zwecke des Wertpapierhandels. </w:t>
      </w:r>
      <w:r>
        <w:rPr>
          <w:rStyle w:val="Satznummer"/>
        </w:rPr>
        <w:t>2</w:t>
      </w:r>
      <w:r>
        <w:t xml:space="preserve">Der Beschluß muß bestimmen, daß der Handelsbestand der zu diesem Zweck zu erwerbenden Aktien fünf vom Hundert des Grundkapitals am Ende jeden Tages nicht übersteigen darf; er muß den niedrigsten und höchsten Gegenwert festlegen. </w:t>
      </w:r>
      <w:r>
        <w:rPr>
          <w:rStyle w:val="Satznummer"/>
        </w:rPr>
        <w:t>3</w:t>
      </w:r>
      <w:r>
        <w:t>Die Ermächtigung darf höchstens fünf Jahre gelten; oder</w:t>
      </w:r>
    </w:p>
    <w:p>
      <w:pPr>
        <w:tabs>
          <w:tab w:pos="567" w:val="left"/>
        </w:tabs>
        <w:ind w:left="567" w:hanging="567"/>
      </w:pPr>
      <w:r>
        <w:t>8.</w:t>
      </w:r>
      <w:r>
        <w:tab/>
      </w:r>
      <w:r>
        <w:t xml:space="preserve">aufgrund einer höchstens fünf Jahre geltenden Ermächtigung der Hauptversammlung, die den niedrigsten und höchsten Gegenwert sowie den Anteil am Grundkapital, der zehn vom Hundert nicht übersteigen darf, festlegt. </w:t>
      </w:r>
      <w:r>
        <w:rPr>
          <w:rStyle w:val="Satznummer"/>
        </w:rPr>
        <w:t>2</w:t>
      </w:r>
      <w:r>
        <w:t xml:space="preserve">Als Zweck ist der Handel in eigenen Aktien ausgeschlossen. </w:t>
      </w:r>
      <w:r>
        <w:rPr>
          <w:rStyle w:val="Satznummer"/>
        </w:rPr>
        <w:t>3</w:t>
      </w:r>
      <w:hyperlink w:anchor="b60" w:history="1">
        <w:r>
          <w:rPr>
            <w:color w:val="0A3A8C"/>
            <w:u w:val="single"/>
          </w:rPr>
          <w:t xml:space="preserve">§ 53a</w:t>
        </w:r>
      </w:hyperlink>
      <w:r>
        <w:t xml:space="preserve"> ist auf Erwerb und Veräußerung anzuwenden. </w:t>
      </w:r>
      <w:r>
        <w:rPr>
          <w:rStyle w:val="Satznummer"/>
        </w:rPr>
        <w:t>4</w:t>
      </w:r>
      <w:r>
        <w:t xml:space="preserve">Erwerb und Veräußerung über die Börse genügen dem. </w:t>
      </w:r>
      <w:r>
        <w:rPr>
          <w:rStyle w:val="Satznummer"/>
        </w:rPr>
        <w:t>5</w:t>
      </w:r>
      <w:r>
        <w:t xml:space="preserve">Eine andere Veräußerung kann die Hauptversammlung beschließen; </w:t>
      </w:r>
      <w:hyperlink w:anchor="b237" w:history="1">
        <w:r>
          <w:rPr>
            <w:color w:val="0A3A8C"/>
            <w:u w:val="single"/>
          </w:rPr>
          <w:t xml:space="preserve">§ 186</w:t>
        </w:r>
      </w:hyperlink>
      <w:r>
        <w:t xml:space="preserve"> Abs. 3, 4 und </w:t>
      </w:r>
      <w:hyperlink w:anchor="b245" w:history="1">
        <w:r>
          <w:rPr>
            <w:color w:val="0A3A8C"/>
            <w:u w:val="single"/>
          </w:rPr>
          <w:t xml:space="preserve">§ 193</w:t>
        </w:r>
      </w:hyperlink>
      <w:r>
        <w:t xml:space="preserve"> Abs. 2 Nr. 4 sind in diesem Fall entsprechend anzuwenden. </w:t>
      </w:r>
      <w:r>
        <w:rPr>
          <w:rStyle w:val="Satznummer"/>
        </w:rPr>
        <w:t>6</w:t>
      </w:r>
      <w:r>
        <w:t>Die Hauptversammlung kann den Vorstand ermächtigen, die eigenen Aktien ohne weiteren Hauptversammlungsbeschluß einzuziehen.</w:t>
      </w:r>
    </w:p>
    <w:p>
      <w:r>
        <w:t xml:space="preserve">(2) </w:t>
      </w:r>
      <w:r>
        <w:rPr>
          <w:rStyle w:val="Satznummer"/>
        </w:rPr>
        <w:t>1</w:t>
      </w:r>
      <w:r>
        <w:t xml:space="preserve">Auf die zu den Zwecken nach Absatz 1 Nr. 1 bis 3, 7 und 8 erworbenen Aktien dürfen zusammen mit anderen Aktien der Gesellschaft, welche die Gesellschaft bereits erworben hat und noch besitzt, nicht mehr als zehn vom Hundert des Grundkapitals entfallen. </w:t>
      </w:r>
      <w:r>
        <w:rPr>
          <w:rStyle w:val="Satznummer"/>
        </w:rPr>
        <w:t>2</w:t>
      </w:r>
      <w:r>
        <w:t xml:space="preserve">Dieser Erwerb ist ferner nur zulässig, wenn die Gesellschaft im Zeitpunkt des Erwerbs eine Rücklage in Höhe der Aufwendungen für den Erwerb bilden könnte, ohne das Grundkapital oder eine nach Gesetz oder Satzung zu bildende Rücklage zu mindern, die nicht zur Zahlung an die Aktionäre verwandt werden darf. </w:t>
      </w:r>
      <w:r>
        <w:rPr>
          <w:rStyle w:val="Satznummer"/>
        </w:rPr>
        <w:t>3</w:t>
      </w:r>
      <w:r>
        <w:t>In den Fällen des Absatzes 1 Nr. 1, 2, 4, 7 und 8 ist der Erwerb nur zulässig, wenn auf die Aktien der Ausgabebetrag voll geleistet ist.</w:t>
      </w:r>
    </w:p>
    <w:p>
      <w:r>
        <w:t xml:space="preserve">(3) </w:t>
      </w:r>
      <w:r>
        <w:rPr>
          <w:rStyle w:val="Satznummer"/>
        </w:rPr>
        <w:t>1</w:t>
      </w:r>
      <w:r>
        <w:t xml:space="preserve">In den Fällen des Absatzes 1 Nr. 1 und 8 hat der Vorstand die nächste Hauptversammlung über die Gründe und den Zweck des Erwerbs, über die Zahl der erworbenen Aktien und den auf sie entfallenden Betrag des Grundkapitals, über deren Anteil am Grundkapital sowie über den Gegenwert der Aktien zu unterrichten. </w:t>
      </w:r>
      <w:r>
        <w:rPr>
          <w:rStyle w:val="Satznummer"/>
        </w:rPr>
        <w:t>2</w:t>
      </w:r>
      <w:r>
        <w:t>Im Falle des Absatzes 1 Nr. 2 sind die Aktien innerhalb eines Jahres nach ihrem Erwerb an die Arbeitnehmer auszugeben.</w:t>
      </w:r>
    </w:p>
    <w:p>
      <w:r>
        <w:t xml:space="preserve">(4) </w:t>
      </w:r>
      <w:r>
        <w:rPr>
          <w:rStyle w:val="Satznummer"/>
        </w:rPr>
        <w:t>1</w:t>
      </w:r>
      <w:r>
        <w:t xml:space="preserve">Ein Verstoß gegen die Absätze 1 oder 2 macht den Erwerb eigener Aktien nicht unwirksam. </w:t>
      </w:r>
      <w:r>
        <w:rPr>
          <w:rStyle w:val="Satznummer"/>
        </w:rPr>
        <w:t>2</w:t>
      </w:r>
      <w:r>
        <w:t>Ein schuldrechtliches Geschäft über den Erwerb eigener Aktien ist jedoch nichtig, soweit der Erwerb gegen die Absätze 1 oder 2 verstößt.</w:t>
      </w:r>
    </w:p>
    <w:p>
      <w:pPr>
        <w:pStyle w:val="Heading3"/>
      </w:pPr>
      <w:bookmarkStart w:id="86" w:name="b85"/>
      <w:r>
        <w:t>§ 71a Umgehungsgeschäfte</w:t>
      </w:r>
      <w:r>
        <w:t xml:space="preserve"> </w:t>
      </w:r>
      <w:r>
        <w:rPr>
          <w:rStyle w:val="Suchmarke"/>
        </w:rPr>
        <w:t>#71a#</w:t>
      </w:r>
      <w:bookmarkEnd w:id="86"/>
    </w:p>
    <w:p>
      <w:r>
        <w:t xml:space="preserve">(1) </w:t>
      </w:r>
      <w:r>
        <w:rPr>
          <w:rStyle w:val="Satznummer"/>
        </w:rPr>
        <w:t>1</w:t>
      </w:r>
      <w:r>
        <w:t xml:space="preserve">Ein Rechtsgeschäft, das die Gewährung eines Vorschusses oder eines Darlehens oder die Leistung einer Sicherheit durch die Gesellschaft an einen anderen zum Zweck des Erwerbs von Aktien dieser Gesellschaft zum Gegenstand hat, ist nichtig. </w:t>
      </w:r>
      <w:r>
        <w:rPr>
          <w:rStyle w:val="Satznummer"/>
        </w:rPr>
        <w:t>2</w:t>
      </w:r>
      <w:r>
        <w:t xml:space="preserve">Dies gilt nicht für Rechtsgeschäfte im Rahmen der laufenden Geschäfte von Kreditinstituten, von Finanzdienstleistungsinstituten oder von Wertpapierinstituten sowie für die Gewährung eines Vorschusses oder eines Darlehens oder für die Leistung einer Sicherheit zum Zweck des Erwerbs von Aktien durch Arbeitnehmer der Gesellschaft oder eines mit ihr verbundenen Unternehmens; auch in diesen Fällen ist das Rechtsgeschäft jedoch nichtig, wenn die Gesellschaft im Zeitpunkt des Erwerbs eine Rücklage in Höhe der Aufwendungen für den Erwerb nicht bilden könnte, ohne das Grundkapital oder eine nach Gesetz oder Satzung zu bildende Rücklage zu mindern, die nicht zur Zahlung an die Aktionäre verwandt werden darf. </w:t>
      </w:r>
      <w:r>
        <w:rPr>
          <w:rStyle w:val="Satznummer"/>
        </w:rPr>
        <w:t>3</w:t>
      </w:r>
      <w:r>
        <w:t>Satz 1 gilt zudem nicht für Rechtsgeschäfte bei Bestehen eines Beherrschungs- oder Gewinnabführungsvertrags (</w:t>
      </w:r>
      <w:hyperlink w:anchor="b371" w:history="1">
        <w:r>
          <w:rPr>
            <w:color w:val="0A3A8C"/>
            <w:u w:val="single"/>
          </w:rPr>
          <w:t xml:space="preserve">§ 291</w:t>
        </w:r>
      </w:hyperlink>
      <w:r>
        <w:t>).</w:t>
      </w:r>
    </w:p>
    <w:p>
      <w:r>
        <w:t xml:space="preserve">(2) Nichtig ist ferner ein Rechtsgeschäft zwischen der Gesellschaft und einem anderen, nach dem dieser berechtigt oder verpflichtet sein soll, Aktien der Gesellschaft für Rechnung der Gesellschaft oder eines abhängigen oder eines in ihrem Mehrheitsbesitz stehenden Unternehmens zu erwerben, soweit der Erwerb durch die Gesellschaft gegen </w:t>
      </w:r>
      <w:hyperlink w:anchor="b84" w:history="1">
        <w:r>
          <w:rPr>
            <w:color w:val="0A3A8C"/>
            <w:u w:val="single"/>
          </w:rPr>
          <w:t xml:space="preserve">§ 71</w:t>
        </w:r>
      </w:hyperlink>
      <w:r>
        <w:t xml:space="preserve"> Abs. 1 oder 2 verstoßen würde.</w:t>
      </w:r>
    </w:p>
    <w:p>
      <w:pPr>
        <w:pStyle w:val="Heading3"/>
      </w:pPr>
      <w:bookmarkStart w:id="87" w:name="b86"/>
      <w:r>
        <w:t>§ 71b Rechte aus eigenen Aktien</w:t>
      </w:r>
      <w:r>
        <w:t xml:space="preserve"> </w:t>
      </w:r>
      <w:r>
        <w:rPr>
          <w:rStyle w:val="Suchmarke"/>
        </w:rPr>
        <w:t>#71b#</w:t>
      </w:r>
      <w:bookmarkEnd w:id="87"/>
    </w:p>
    <w:p>
      <w:r>
        <w:t>Aus eigenen Aktien stehen der Gesellschaft keine Rechte zu.</w:t>
      </w:r>
    </w:p>
    <w:p>
      <w:pPr>
        <w:pStyle w:val="Heading3"/>
      </w:pPr>
      <w:bookmarkStart w:id="88" w:name="b87"/>
      <w:r>
        <w:t>§ 71c Veräußerung und Einziehung eigener Aktien</w:t>
      </w:r>
      <w:r>
        <w:t xml:space="preserve"> </w:t>
      </w:r>
      <w:r>
        <w:rPr>
          <w:rStyle w:val="Suchmarke"/>
        </w:rPr>
        <w:t>#71c#</w:t>
      </w:r>
      <w:bookmarkEnd w:id="88"/>
    </w:p>
    <w:p>
      <w:r>
        <w:t xml:space="preserve">(1) Hat die Gesellschaft eigene Aktien unter Verstoß gegen </w:t>
      </w:r>
      <w:hyperlink w:anchor="b84" w:history="1">
        <w:r>
          <w:rPr>
            <w:color w:val="0A3A8C"/>
            <w:u w:val="single"/>
          </w:rPr>
          <w:t xml:space="preserve">§ 71</w:t>
        </w:r>
      </w:hyperlink>
      <w:r>
        <w:t xml:space="preserve"> Abs. 1 oder 2 erworben, so müssen sie innerhalb eines Jahres nach ihrem Erwerb veräußert werden.</w:t>
      </w:r>
    </w:p>
    <w:p>
      <w:r>
        <w:t>(2) Entfallen auf die Aktien, welche die Gesellschaft nach § 71 Abs. 1 in zulässiger Weise erworben hat und noch besitzt, mehr als zehn vom Hundert des Grundkapitals, so muß der Teil der Aktien, der diesen Satz übersteigt, innerhalb von drei Jahren nach dem Erwerb der Aktien veräußert werden.</w:t>
      </w:r>
    </w:p>
    <w:p>
      <w:r>
        <w:t xml:space="preserve">(3) Sind eigene Aktien innerhalb der in den Absätzen 1 und 2 vorgesehenen Fristen nicht veräußert worden, so sind sie nach </w:t>
      </w:r>
      <w:hyperlink w:anchor="b296" w:history="1">
        <w:r>
          <w:rPr>
            <w:color w:val="0A3A8C"/>
            <w:u w:val="single"/>
          </w:rPr>
          <w:t xml:space="preserve">§ 237</w:t>
        </w:r>
      </w:hyperlink>
      <w:r>
        <w:t xml:space="preserve"> einzuziehen.</w:t>
      </w:r>
    </w:p>
    <w:p>
      <w:pPr>
        <w:pStyle w:val="Heading3"/>
      </w:pPr>
      <w:bookmarkStart w:id="89" w:name="b88"/>
      <w:r>
        <w:t>§ 71d Erwerb eigener Aktien durch Dritte</w:t>
      </w:r>
      <w:r>
        <w:t xml:space="preserve"> </w:t>
      </w:r>
      <w:r>
        <w:rPr>
          <w:rStyle w:val="Suchmarke"/>
        </w:rPr>
        <w:t>#71d#</w:t>
      </w:r>
      <w:bookmarkEnd w:id="89"/>
    </w:p>
    <w:p>
      <w:r>
        <w:rPr>
          <w:rStyle w:val="Satznummer"/>
        </w:rPr>
        <w:t>1</w:t>
      </w:r>
      <w:r>
        <w:t xml:space="preserve">Ein im eigenen Namen, jedoch für Rechnung der Gesellschaft handelnder Dritter darf Aktien der Gesellschaft nur erwerben oder besitzen, soweit dies der Gesellschaft nach </w:t>
      </w:r>
      <w:hyperlink w:anchor="b84" w:history="1">
        <w:r>
          <w:rPr>
            <w:color w:val="0A3A8C"/>
            <w:u w:val="single"/>
          </w:rPr>
          <w:t xml:space="preserve">§ 71</w:t>
        </w:r>
      </w:hyperlink>
      <w:r>
        <w:t xml:space="preserve"> Abs. 1 Nr. 1 bis 5, 7 und 8 und Abs. 2 gestattet wäre. </w:t>
      </w:r>
      <w:r>
        <w:rPr>
          <w:rStyle w:val="Satznummer"/>
        </w:rPr>
        <w:t>2</w:t>
      </w:r>
      <w:r>
        <w:t xml:space="preserve">Gleiches gilt für den Erwerb oder den Besitz von Aktien der Gesellschaft durch ein abhängiges oder ein im Mehrheitsbesitz der Gesellschaft stehendes Unternehmen sowie für den Erwerb oder den Besitz durch einen Dritten, der im eigenen Namen, jedoch für Rechnung eines abhängigen oder eines im Mehrheitsbesitz der Gesellschaft stehenden Unternehmens handelt. </w:t>
      </w:r>
      <w:r>
        <w:rPr>
          <w:rStyle w:val="Satznummer"/>
        </w:rPr>
        <w:t>3</w:t>
      </w:r>
      <w:r>
        <w:t xml:space="preserve">Bei der Berechnung des Anteils am Grundkapital nach </w:t>
      </w:r>
      <w:hyperlink w:anchor="b84" w:history="1">
        <w:r>
          <w:rPr>
            <w:color w:val="0A3A8C"/>
            <w:u w:val="single"/>
          </w:rPr>
          <w:t xml:space="preserve">§ 71</w:t>
        </w:r>
      </w:hyperlink>
      <w:r>
        <w:t xml:space="preserve"> Abs. 2 Satz 1 und </w:t>
      </w:r>
      <w:hyperlink w:anchor="b87" w:history="1">
        <w:r>
          <w:rPr>
            <w:color w:val="0A3A8C"/>
            <w:u w:val="single"/>
          </w:rPr>
          <w:t xml:space="preserve">§ 71c</w:t>
        </w:r>
      </w:hyperlink>
      <w:r>
        <w:t xml:space="preserve"> Abs. 2 gelten diese Aktien als Aktien der Gesellschaft. </w:t>
      </w:r>
      <w:r>
        <w:rPr>
          <w:rStyle w:val="Satznummer"/>
        </w:rPr>
        <w:t>4</w:t>
      </w:r>
      <w:r>
        <w:t xml:space="preserve">Im übrigen gelten </w:t>
      </w:r>
      <w:hyperlink w:anchor="b84" w:history="1">
        <w:r>
          <w:rPr>
            <w:color w:val="0A3A8C"/>
            <w:u w:val="single"/>
          </w:rPr>
          <w:t xml:space="preserve">§ 71</w:t>
        </w:r>
      </w:hyperlink>
      <w:r>
        <w:t xml:space="preserve"> Abs. 3 und 4, </w:t>
      </w:r>
      <w:hyperlink w:anchor="b85" w:history="1">
        <w:r>
          <w:rPr>
            <w:color w:val="0A3A8C"/>
            <w:u w:val="single"/>
          </w:rPr>
          <w:t xml:space="preserve">§§ 71a</w:t>
        </w:r>
      </w:hyperlink>
      <w:r>
        <w:t xml:space="preserve"> bis </w:t>
      </w:r>
      <w:hyperlink w:anchor="b87" w:history="1">
        <w:r>
          <w:rPr>
            <w:color w:val="0A3A8C"/>
            <w:u w:val="single"/>
          </w:rPr>
          <w:t xml:space="preserve">71c</w:t>
        </w:r>
      </w:hyperlink>
      <w:r>
        <w:t xml:space="preserve"> sinngemäß. </w:t>
      </w:r>
      <w:r>
        <w:rPr>
          <w:rStyle w:val="Satznummer"/>
        </w:rPr>
        <w:t>5</w:t>
      </w:r>
      <w:r>
        <w:t xml:space="preserve">Der Dritte oder das Unternehmen hat der Gesellschaft auf ihr Verlangen das Eigentum an den Aktien zu verschaffen. </w:t>
      </w:r>
      <w:r>
        <w:rPr>
          <w:rStyle w:val="Satznummer"/>
        </w:rPr>
        <w:t>6</w:t>
      </w:r>
      <w:r>
        <w:t>Die Gesellschaft hat den Gegenwert der Aktien zu erstatten.</w:t>
      </w:r>
    </w:p>
    <w:p>
      <w:pPr>
        <w:pStyle w:val="Heading3"/>
      </w:pPr>
      <w:bookmarkStart w:id="90" w:name="b89"/>
      <w:r>
        <w:t>§ 71e Inpfandnahme eigener Aktien</w:t>
      </w:r>
      <w:r>
        <w:t xml:space="preserve"> </w:t>
      </w:r>
      <w:r>
        <w:rPr>
          <w:rStyle w:val="Suchmarke"/>
        </w:rPr>
        <w:t>#71e#</w:t>
      </w:r>
      <w:bookmarkEnd w:id="90"/>
    </w:p>
    <w:p>
      <w:r>
        <w:t xml:space="preserve">(1) </w:t>
      </w:r>
      <w:r>
        <w:rPr>
          <w:rStyle w:val="Satznummer"/>
        </w:rPr>
        <w:t>1</w:t>
      </w:r>
      <w:r>
        <w:t xml:space="preserve">Dem Erwerb eigener Aktien nach </w:t>
      </w:r>
      <w:hyperlink w:anchor="b84" w:history="1">
        <w:r>
          <w:rPr>
            <w:color w:val="0A3A8C"/>
            <w:u w:val="single"/>
          </w:rPr>
          <w:t xml:space="preserve">§ 71</w:t>
        </w:r>
      </w:hyperlink>
      <w:r>
        <w:t xml:space="preserve"> Abs. 1 und 2, </w:t>
      </w:r>
      <w:hyperlink w:anchor="b88" w:history="1">
        <w:r>
          <w:rPr>
            <w:color w:val="0A3A8C"/>
            <w:u w:val="single"/>
          </w:rPr>
          <w:t xml:space="preserve">§ 71d</w:t>
        </w:r>
      </w:hyperlink>
      <w:r>
        <w:t xml:space="preserve"> steht es gleich, wenn eigene Aktien als Pfand genommen werden. </w:t>
      </w:r>
      <w:r>
        <w:rPr>
          <w:rStyle w:val="Satznummer"/>
        </w:rPr>
        <w:t>2</w:t>
      </w:r>
      <w:r>
        <w:t xml:space="preserve">Jedoch darf ein Kreditinstitut, ein Finanzdienstleistungsinstitut oder ein Wertpapierinstitut im Rahmen der laufenden Geschäfte eigene Aktien bis zu dem in </w:t>
      </w:r>
      <w:hyperlink w:anchor="b84" w:history="1">
        <w:r>
          <w:rPr>
            <w:color w:val="0A3A8C"/>
            <w:u w:val="single"/>
          </w:rPr>
          <w:t xml:space="preserve">§ 71</w:t>
        </w:r>
      </w:hyperlink>
      <w:r>
        <w:t xml:space="preserve"> Abs. 2 Satz 1 bestimmten Anteil am Grundkapital als Pfand nehmen. </w:t>
      </w:r>
      <w:r>
        <w:rPr>
          <w:rStyle w:val="Satznummer"/>
        </w:rPr>
        <w:t>3</w:t>
      </w:r>
      <w:hyperlink w:anchor="b85" w:history="1">
        <w:r>
          <w:rPr>
            <w:color w:val="0A3A8C"/>
            <w:u w:val="single"/>
          </w:rPr>
          <w:t xml:space="preserve">§ 71a</w:t>
        </w:r>
      </w:hyperlink>
      <w:r>
        <w:t xml:space="preserve"> gilt sinngemäß.</w:t>
      </w:r>
    </w:p>
    <w:p>
      <w:r>
        <w:t xml:space="preserve">(2) </w:t>
      </w:r>
      <w:r>
        <w:rPr>
          <w:rStyle w:val="Satznummer"/>
        </w:rPr>
        <w:t>1</w:t>
      </w:r>
      <w:r>
        <w:t xml:space="preserve">Ein Verstoß gegen Absatz 1 macht die Inpfandnahme eigener Aktien unwirksam, wenn auf sie der Ausgabebetrag noch nicht voll geleistet ist. </w:t>
      </w:r>
      <w:r>
        <w:rPr>
          <w:rStyle w:val="Satznummer"/>
        </w:rPr>
        <w:t>2</w:t>
      </w:r>
      <w:r>
        <w:t>Ein schuldrechtliches Geschäft über die Inpfandnahme eigener Aktien ist nichtig, soweit der Erwerb gegen Absatz 1 verstößt.</w:t>
      </w:r>
    </w:p>
    <w:p>
      <w:pPr>
        <w:pStyle w:val="Heading3"/>
      </w:pPr>
      <w:bookmarkStart w:id="91" w:name="b90"/>
      <w:r>
        <w:t>§ 72 Kraftloserklärung von Aktien im Aufgebotsverfahren</w:t>
      </w:r>
      <w:r>
        <w:t xml:space="preserve"> </w:t>
      </w:r>
      <w:r>
        <w:rPr>
          <w:rStyle w:val="Suchmarke"/>
        </w:rPr>
        <w:t>#72#</w:t>
      </w:r>
      <w:bookmarkEnd w:id="91"/>
    </w:p>
    <w:p>
      <w:r>
        <w:t xml:space="preserve">(1) </w:t>
      </w:r>
      <w:r>
        <w:rPr>
          <w:rStyle w:val="Satznummer"/>
        </w:rPr>
        <w:t>1</w:t>
      </w:r>
      <w:r>
        <w:t xml:space="preserve">Ist eine Aktie oder ein Zwischenschein abhanden gekommen oder vernichtet, so kann die Urkunde im Aufgebotsverfahren nach dem Gesetz über das Verfahren in Familiensachen und in den Angelegenheiten der freiwilligen Gerichtsbarkeit für kraftlos erklärt werden. </w:t>
      </w:r>
      <w:r>
        <w:rPr>
          <w:rStyle w:val="Satznummer"/>
        </w:rPr>
        <w:t>2</w:t>
      </w:r>
      <w:r>
        <w:t>§ 799 Abs. 2 und § 800 des Bürgerlichen Gesetzbuchs gelten sinngemäß.</w:t>
      </w:r>
    </w:p>
    <w:p>
      <w:r>
        <w:t>(2) Sind Gewinnanteilscheine auf den Inhaber ausgegeben, so erlischt mit der Kraftloserklärung der Aktie oder des Zwischenscheins auch der Anspruch aus den noch nicht fälligen Gewinnanteilscheinen.</w:t>
      </w:r>
    </w:p>
    <w:p>
      <w:r>
        <w:t xml:space="preserve">(3) Die Kraftloserklärung einer Aktie nach </w:t>
      </w:r>
      <w:hyperlink w:anchor="b91" w:history="1">
        <w:r>
          <w:rPr>
            <w:color w:val="0A3A8C"/>
            <w:u w:val="single"/>
          </w:rPr>
          <w:t xml:space="preserve">§§ 73</w:t>
        </w:r>
      </w:hyperlink>
      <w:r>
        <w:t xml:space="preserve"> oder </w:t>
      </w:r>
      <w:hyperlink w:anchor="b283" w:history="1">
        <w:r>
          <w:rPr>
            <w:color w:val="0A3A8C"/>
            <w:u w:val="single"/>
          </w:rPr>
          <w:t xml:space="preserve">226</w:t>
        </w:r>
      </w:hyperlink>
      <w:r>
        <w:t xml:space="preserve"> steht der Kraftloserklärung der Urkunde nach Absatz 1 nicht entgegen.</w:t>
      </w:r>
    </w:p>
    <w:p>
      <w:pPr>
        <w:pStyle w:val="Heading3"/>
      </w:pPr>
      <w:bookmarkStart w:id="92" w:name="b91"/>
      <w:r>
        <w:t>§ 73 Kraftloserklärung von Aktien durch die Gesellschaft</w:t>
      </w:r>
      <w:r>
        <w:t xml:space="preserve"> </w:t>
      </w:r>
      <w:r>
        <w:rPr>
          <w:rStyle w:val="Suchmarke"/>
        </w:rPr>
        <w:t>#73#</w:t>
      </w:r>
      <w:bookmarkEnd w:id="92"/>
    </w:p>
    <w:p>
      <w:r>
        <w:t xml:space="preserve">(1) </w:t>
      </w:r>
      <w:r>
        <w:rPr>
          <w:rStyle w:val="Satznummer"/>
        </w:rPr>
        <w:t>1</w:t>
      </w:r>
      <w:r>
        <w:t xml:space="preserve">Ist der Inhalt von Aktienurkunden durch eine Veränderung der rechtlichen Verhältnisse unrichtig geworden, so kann die Gesellschaft die Aktien, die trotz Aufforderung nicht zur Berichtigung oder zum Umtausch bei ihr eingereicht sind, mit Genehmigung des Gerichts für kraftlos erklären. </w:t>
      </w:r>
      <w:r>
        <w:rPr>
          <w:rStyle w:val="Satznummer"/>
        </w:rPr>
        <w:t>2</w:t>
      </w:r>
      <w:r>
        <w:t xml:space="preserve">Beruht die Unrichtigkeit auf einer Änderung des Nennbetrags der Aktien, so können sie nur dann für kraftlos erklärt werden, wenn der Nennbetrag zur Herabsetzung des Grundkapitals herabgesetzt ist. </w:t>
      </w:r>
      <w:r>
        <w:rPr>
          <w:rStyle w:val="Satznummer"/>
        </w:rPr>
        <w:t>3</w:t>
      </w:r>
      <w:r>
        <w:t xml:space="preserve">Namensaktien können nicht deshalb für kraftlos erklärt werden, weil die Bezeichnung des Aktionärs unrichtig geworden ist. </w:t>
      </w:r>
      <w:r>
        <w:rPr>
          <w:rStyle w:val="Satznummer"/>
        </w:rPr>
        <w:t>4</w:t>
      </w:r>
      <w:r>
        <w:t>Gegen die Entscheidung des Gerichts ist die Beschwerde zulässig; eine Anfechtung der Entscheidung, durch die die Genehmigung erteilt wird, ist ausgeschlossen.</w:t>
      </w:r>
    </w:p>
    <w:p>
      <w:r>
        <w:t xml:space="preserve">(2) </w:t>
      </w:r>
      <w:r>
        <w:rPr>
          <w:rStyle w:val="Satznummer"/>
        </w:rPr>
        <w:t>1</w:t>
      </w:r>
      <w:r>
        <w:t xml:space="preserve">Die Aufforderung, die Aktien einzureichen, hat die Kraftloserklärung anzudrohen und auf die Genehmigung des Gerichts hinzuweisen. </w:t>
      </w:r>
      <w:r>
        <w:rPr>
          <w:rStyle w:val="Satznummer"/>
        </w:rPr>
        <w:t>2</w:t>
      </w:r>
      <w:r>
        <w:t xml:space="preserve">Die Kraftloserklärung kann nur erfolgen, wenn die Aufforderung in der in </w:t>
      </w:r>
      <w:hyperlink w:anchor="b71" w:history="1">
        <w:r>
          <w:rPr>
            <w:color w:val="0A3A8C"/>
            <w:u w:val="single"/>
          </w:rPr>
          <w:t xml:space="preserve">§ 64</w:t>
        </w:r>
      </w:hyperlink>
      <w:r>
        <w:t xml:space="preserve"> Abs. 2 für die Nachfrist vorgeschriebenen Weise bekanntgemacht worden ist. </w:t>
      </w:r>
      <w:r>
        <w:rPr>
          <w:rStyle w:val="Satznummer"/>
        </w:rPr>
        <w:t>3</w:t>
      </w:r>
      <w:r>
        <w:t xml:space="preserve">Die Kraftloserklärung geschieht durch Bekanntmachung in den Gesellschaftsblättern. </w:t>
      </w:r>
      <w:r>
        <w:rPr>
          <w:rStyle w:val="Satznummer"/>
        </w:rPr>
        <w:t>4</w:t>
      </w:r>
      <w:r>
        <w:t>In der Bekanntmachung sind die für kraftlos erklärten Aktien so zu bezeichnen, daß sich aus der Bekanntmachung ohne weiteres ergibt, ob eine Aktie für kraftlos erklärt ist.</w:t>
      </w:r>
    </w:p>
    <w:p>
      <w:r>
        <w:t xml:space="preserve">(3) </w:t>
      </w:r>
      <w:r>
        <w:rPr>
          <w:rStyle w:val="Satznummer"/>
        </w:rPr>
        <w:t>1</w:t>
      </w:r>
      <w:r>
        <w:t xml:space="preserve">An Stelle der für kraftlos erklärten Aktien sind, vorbehaltlich einer Satzungsregelung nach </w:t>
      </w:r>
      <w:hyperlink w:anchor="b12" w:history="1">
        <w:r>
          <w:rPr>
            <w:color w:val="0A3A8C"/>
            <w:u w:val="single"/>
          </w:rPr>
          <w:t xml:space="preserve">§ 10</w:t>
        </w:r>
      </w:hyperlink>
      <w:r>
        <w:t xml:space="preserve"> Abs. 5, neue Aktien auszugeben und dem Berechtigten auszuhändigen oder, wenn ein Recht zur Hinterlegung besteht, zu hinterlegen. </w:t>
      </w:r>
      <w:r>
        <w:rPr>
          <w:rStyle w:val="Satznummer"/>
        </w:rPr>
        <w:t>2</w:t>
      </w:r>
      <w:r>
        <w:t>Die Aushändigung oder Hinterlegung ist dem Gericht anzuzeigen.</w:t>
      </w:r>
    </w:p>
    <w:p>
      <w:r>
        <w:t xml:space="preserve">(4) Soweit zur Herabsetzung des Grundkapitals Aktien zusammengelegt werden, gilt </w:t>
      </w:r>
      <w:hyperlink w:anchor="b283" w:history="1">
        <w:r>
          <w:rPr>
            <w:color w:val="0A3A8C"/>
            <w:u w:val="single"/>
          </w:rPr>
          <w:t xml:space="preserve">§ 226</w:t>
        </w:r>
      </w:hyperlink>
      <w:r>
        <w:t>.</w:t>
      </w:r>
    </w:p>
    <w:p>
      <w:pPr>
        <w:pStyle w:val="Heading3"/>
      </w:pPr>
      <w:bookmarkStart w:id="93" w:name="b92"/>
      <w:r>
        <w:t>§ 74 Neue Urkunden an Stelle beschädigter oder verunstalteter Aktien oder Zwischenscheine</w:t>
      </w:r>
      <w:r>
        <w:t xml:space="preserve"> </w:t>
      </w:r>
      <w:r>
        <w:rPr>
          <w:rStyle w:val="Suchmarke"/>
        </w:rPr>
        <w:t>#74#</w:t>
      </w:r>
      <w:bookmarkEnd w:id="93"/>
    </w:p>
    <w:p>
      <w:r>
        <w:rPr>
          <w:rStyle w:val="Satznummer"/>
        </w:rPr>
        <w:t>1</w:t>
      </w:r>
      <w:r>
        <w:t xml:space="preserve">Ist eine Aktie oder ein Zwischenschein so beschädigt oder verunstaltet, daß die Urkunde zum Umlauf nicht mehr geeignet ist, so kann der Berechtigte, wenn der wesentliche Inhalt und die Unterscheidungsmerkmale der Urkunde noch sicher zu erkennen sind, von der Gesellschaft die Erteilung einer neuen Urkunde gegen Aushändigung der alten verlangen. </w:t>
      </w:r>
      <w:r>
        <w:rPr>
          <w:rStyle w:val="Satznummer"/>
        </w:rPr>
        <w:t>2</w:t>
      </w:r>
      <w:r>
        <w:t>Die Kosten hat er zu tragen und vorzuschießen.</w:t>
      </w:r>
    </w:p>
    <w:p>
      <w:pPr>
        <w:pStyle w:val="Heading3"/>
      </w:pPr>
      <w:bookmarkStart w:id="94" w:name="b93"/>
      <w:r>
        <w:t>§ 75 Neue Gewinnanteilscheine</w:t>
      </w:r>
      <w:r>
        <w:t xml:space="preserve"> </w:t>
      </w:r>
      <w:r>
        <w:rPr>
          <w:rStyle w:val="Suchmarke"/>
        </w:rPr>
        <w:t>#75#</w:t>
      </w:r>
      <w:bookmarkEnd w:id="94"/>
    </w:p>
    <w:p>
      <w:r>
        <w:t>Neue Gewinnanteilscheine dürfen an den Inhaber des Erneuerungsscheins nicht ausgegeben werden, wenn der Besitzer der Aktie oder des Zwischenscheins der Ausgabe widerspricht; sie sind dem Besitzer der Aktie oder des Zwischenscheins auszuhändigen, wenn er die Haupturkunde vorlegt.</w:t>
      </w:r>
    </w:p>
    <w:p>
      <w:pPr>
        <w:pStyle w:val="Heading2"/>
      </w:pPr>
      <w:bookmarkStart w:id="95" w:name="b94"/>
      <w:r>
        <w:t>Vierter Teil Verfassung der Aktiengesellschaft</w:t>
      </w:r>
      <w:bookmarkEnd w:id="95"/>
    </w:p>
    <w:p>
      <w:pPr>
        <w:pStyle w:val="Heading3"/>
      </w:pPr>
      <w:bookmarkStart w:id="96" w:name="b95"/>
      <w:r>
        <w:t>Erster Abschnitt Vorstand</w:t>
      </w:r>
      <w:bookmarkEnd w:id="96"/>
    </w:p>
    <w:p>
      <w:pPr>
        <w:pStyle w:val="Heading4"/>
      </w:pPr>
      <w:bookmarkStart w:id="97" w:name="b96"/>
      <w:r>
        <w:t>§ 76 Leitung der Aktiengesellschaft</w:t>
      </w:r>
      <w:r>
        <w:t xml:space="preserve"> </w:t>
      </w:r>
      <w:r>
        <w:rPr>
          <w:rStyle w:val="Suchmarke"/>
        </w:rPr>
        <w:t>#76#</w:t>
      </w:r>
      <w:bookmarkEnd w:id="97"/>
    </w:p>
    <w:p>
      <w:r>
        <w:t>(1) Der Vorstand hat unter eigener Verantwortung die Gesellschaft zu leiten.</w:t>
      </w:r>
    </w:p>
    <w:p>
      <w:r>
        <w:t xml:space="preserve">(2) </w:t>
      </w:r>
      <w:r>
        <w:rPr>
          <w:rStyle w:val="Satznummer"/>
        </w:rPr>
        <w:t>1</w:t>
      </w:r>
      <w:r>
        <w:t xml:space="preserve">Der Vorstand kann aus einer oder mehreren Personen bestehen. </w:t>
      </w:r>
      <w:r>
        <w:rPr>
          <w:rStyle w:val="Satznummer"/>
        </w:rPr>
        <w:t>2</w:t>
      </w:r>
      <w:r>
        <w:t xml:space="preserve">Bei Gesellschaften mit einem Grundkapital von mehr als drei Millionen Euro hat er aus mindestens zwei Personen zu bestehen, es sei denn, die Satzung bestimmt, daß er aus einer Person besteht. </w:t>
      </w:r>
      <w:r>
        <w:rPr>
          <w:rStyle w:val="Satznummer"/>
        </w:rPr>
        <w:t>3</w:t>
      </w:r>
      <w:r>
        <w:t>Die Vorschriften über die Bestellung eines Arbeitsdirektors bleiben unberührt.</w:t>
      </w:r>
    </w:p>
    <w:p>
      <w:r>
        <w:t xml:space="preserve">(3) </w:t>
      </w:r>
      <w:r>
        <w:rPr>
          <w:rStyle w:val="Satznummer"/>
        </w:rPr>
        <w:t>1</w:t>
      </w:r>
      <w:r>
        <w:t xml:space="preserve">Mitglied des Vorstands kann nur eine natürliche, unbeschränkt geschäftsfähige Person sein. </w:t>
      </w:r>
      <w:r>
        <w:rPr>
          <w:rStyle w:val="Satznummer"/>
        </w:rPr>
        <w:t>2</w:t>
      </w:r>
      <w:r>
        <w:t>Mitglied des Vorstands kann nicht sein, wer</w:t>
      </w:r>
    </w:p>
    <w:p>
      <w:pPr>
        <w:tabs>
          <w:tab w:pos="567" w:val="left"/>
        </w:tabs>
        <w:ind w:left="567" w:hanging="567"/>
      </w:pPr>
      <w:r>
        <w:t>1.</w:t>
      </w:r>
      <w:r>
        <w:tab/>
      </w:r>
      <w:r>
        <w:t>als Betreuter bei der Besorgung seiner Vermögensangelegenheiten ganz oder teilweise einem Einwilligungsvorbehalt (§ 1825 des Bürgerlichen Gesetzbuchs) unterliegt,</w:t>
      </w:r>
    </w:p>
    <w:p>
      <w:pPr>
        <w:tabs>
          <w:tab w:pos="567" w:val="left"/>
        </w:tabs>
        <w:ind w:left="567" w:hanging="567"/>
      </w:pPr>
      <w:r>
        <w:t>2.</w:t>
      </w:r>
      <w:r>
        <w:tab/>
      </w:r>
      <w:r>
        <w:t>aufgrund eines gerichtlichen Urteils oder einer vollziehbaren Entscheidung einer Verwaltungsbehörde einen Beruf, einen Berufszweig, ein Gewerbe oder einen Gewerbezweig nicht ausüben darf, sofern der Unternehmensgegenstand ganz oder teilweise mit dem Gegenstand des Verbots übereinstimmt,</w:t>
      </w:r>
    </w:p>
    <w:p>
      <w:pPr>
        <w:tabs>
          <w:tab w:pos="567" w:val="left"/>
        </w:tabs>
        <w:ind w:left="567" w:hanging="567"/>
      </w:pPr>
      <w:r>
        <w:t>3.</w:t>
      </w:r>
      <w:r>
        <w:tab/>
      </w:r>
      <w:r>
        <w:t>wegen einer oder mehrerer vorsätzlich begangener Straftaten</w:t>
      </w:r>
    </w:p>
    <w:p>
      <w:pPr>
        <w:tabs>
          <w:tab w:pos="1134" w:val="left"/>
        </w:tabs>
        <w:ind w:left="1134" w:hanging="567"/>
      </w:pPr>
      <w:r>
        <w:t>a)</w:t>
      </w:r>
      <w:r>
        <w:tab/>
      </w:r>
      <w:r>
        <w:t>des Unterlassens der Stellung des Antrags auf Eröffnung des Insolvenzverfahrens (Insolvenzverschleppung),</w:t>
      </w:r>
    </w:p>
    <w:p>
      <w:pPr>
        <w:tabs>
          <w:tab w:pos="1134" w:val="left"/>
        </w:tabs>
        <w:ind w:left="1134" w:hanging="567"/>
      </w:pPr>
      <w:r>
        <w:t>b)</w:t>
      </w:r>
      <w:r>
        <w:tab/>
      </w:r>
      <w:r>
        <w:t>nach den §§ 283 bis 283d des Strafgesetzbuchs (Insolvenzstraftaten),</w:t>
      </w:r>
    </w:p>
    <w:p>
      <w:pPr>
        <w:tabs>
          <w:tab w:pos="1134" w:val="left"/>
        </w:tabs>
        <w:ind w:left="1134" w:hanging="567"/>
      </w:pPr>
      <w:r>
        <w:t>c)</w:t>
      </w:r>
      <w:r>
        <w:tab/>
      </w:r>
      <w:r>
        <w:t xml:space="preserve">der falschen Angaben nach </w:t>
      </w:r>
      <w:hyperlink w:anchor="b447" w:history="1">
        <w:r>
          <w:rPr>
            <w:color w:val="0A3A8C"/>
            <w:u w:val="single"/>
          </w:rPr>
          <w:t xml:space="preserve">§ 399</w:t>
        </w:r>
      </w:hyperlink>
      <w:r>
        <w:t xml:space="preserve"> dieses Gesetzes oder § 82 des Gesetzes betreffend die Gesellschaften mit beschränkter Haftung,</w:t>
      </w:r>
    </w:p>
    <w:p>
      <w:pPr>
        <w:tabs>
          <w:tab w:pos="1134" w:val="left"/>
        </w:tabs>
        <w:ind w:left="1134" w:hanging="567"/>
      </w:pPr>
      <w:r>
        <w:t>d)</w:t>
      </w:r>
      <w:r>
        <w:tab/>
      </w:r>
      <w:r>
        <w:t xml:space="preserve">der unrichtigen Darstellung nach </w:t>
      </w:r>
      <w:hyperlink w:anchor="b448" w:history="1">
        <w:r>
          <w:rPr>
            <w:color w:val="0A3A8C"/>
            <w:u w:val="single"/>
          </w:rPr>
          <w:t xml:space="preserve">§ 400</w:t>
        </w:r>
      </w:hyperlink>
      <w:r>
        <w:t xml:space="preserve"> dieses Gesetzes, § 331 des Handelsgesetzbuchs, § 346 des Umwandlungsgesetzes oder § 17 des Publizitätsgesetzes,</w:t>
      </w:r>
    </w:p>
    <w:p>
      <w:pPr>
        <w:tabs>
          <w:tab w:pos="1134" w:val="left"/>
        </w:tabs>
        <w:ind w:left="1134" w:hanging="567"/>
      </w:pPr>
      <w:r>
        <w:t>e)</w:t>
      </w:r>
      <w:r>
        <w:tab/>
      </w:r>
      <w:r>
        <w:t xml:space="preserve">nach den </w:t>
      </w:r>
      <w:hyperlink w:anchor="b337" w:history="1">
        <w:r>
          <w:rPr>
            <w:color w:val="0A3A8C"/>
            <w:u w:val="single"/>
          </w:rPr>
          <w:t xml:space="preserve">§§ 263</w:t>
        </w:r>
      </w:hyperlink>
      <w:r>
        <w:t xml:space="preserve"> bis 264a oder den §§ 265b bis 266a des Strafgesetzbuchs zu einer Freiheitsstrafe von mindestens einem Jahr</w:t>
      </w:r>
    </w:p>
    <w:p>
      <w:pPr>
        <w:ind w:left="567"/>
      </w:pPr>
      <w:r>
        <w:t>verurteilt worden ist; dieser Ausschluss gilt für die Dauer von fünf Jahren seit der Rechtskraft des Urteils, wobei die Zeit nicht eingerechnet wird, in welcher der Täter auf behördliche Anordnung in einer Anstalt verwahrt worden ist.</w:t>
      </w:r>
    </w:p>
    <w:p>
      <w:r>
        <w:rPr>
          <w:rStyle w:val="Satznummer"/>
        </w:rPr>
        <w:t>3</w:t>
      </w:r>
      <w:r>
        <w:t xml:space="preserve">Satz 2 Nummer 2 gilt entsprechend, wenn die Person in einem anderen Mitgliedstaat der Europäischen Union oder einem anderen Vertragsstaat des Abkommens über den Europäischen Wirtschaftsraum einem vergleichbaren Verbot unterliegt. </w:t>
      </w:r>
      <w:r>
        <w:rPr>
          <w:rStyle w:val="Satznummer"/>
        </w:rPr>
        <w:t>4</w:t>
      </w:r>
      <w:r>
        <w:t>Satz 2 Nr. 3 gilt entsprechend bei einer Verurteilung im Ausland wegen einer Tat, die mit den in Satz 2 Nr. 3 genannten Taten vergleichbar ist.</w:t>
      </w:r>
    </w:p>
    <w:p>
      <w:r>
        <w:t xml:space="preserve">(3a) </w:t>
      </w:r>
      <w:r>
        <w:rPr>
          <w:rStyle w:val="Satznummer"/>
        </w:rPr>
        <w:t>1</w:t>
      </w:r>
      <w:r>
        <w:t xml:space="preserve">Besteht der Vorstand bei börsennotierten Gesellschaften, für die das Mitbestimmungsgesetz, das Gesetz über die Mitbestimmung der Arbeitnehmer in den Aufsichtsräten und Vorständen der Unternehmen des Bergbaus und der Eisen und Stahl erzeugenden Industrie in der im Bundesgesetzblatt Teil III, Gliederungsnummer 801-2, veröffentlichten bereinigten Fassung – Montan-Mitbestimmungsgesetz – oder das Gesetz zur Ergänzung des Gesetzes über die Mitbestimmung der Arbeitnehmer in den Aufsichtsräten und Vorständen der Unternehmen des Bergbaus und der Eisen und Stahl erzeugenden Industrie in der im Bundesgesetzblatt Teil III, Gliederungsnummer 801-3, veröffentlichten bereinigten Fassung – Mitbestimmungsergänzungsgesetz – gilt, aus mehr als drei Personen, so muss mindestens eine Frau und mindestens ein Mann Mitglied des Vorstands sein. </w:t>
      </w:r>
      <w:r>
        <w:rPr>
          <w:rStyle w:val="Satznummer"/>
        </w:rPr>
        <w:t>2</w:t>
      </w:r>
      <w:r>
        <w:t>Eine Bestellung eines Vorstandsmitglieds unter Verstoß gegen dieses Beteiligungsgebot ist nichtig.</w:t>
      </w:r>
    </w:p>
    <w:p>
      <w:r>
        <w:t xml:space="preserve">(4) </w:t>
      </w:r>
      <w:r>
        <w:rPr>
          <w:rStyle w:val="Satznummer"/>
        </w:rPr>
        <w:t>1</w:t>
      </w:r>
      <w:r>
        <w:t xml:space="preserve">Der Vorstand von Gesellschaften, die börsennotiert sind oder der Mitbestimmung unterliegen, legt für den Frauenanteil in den beiden Führungsebenen unterhalb des Vorstands Zielgrößen fest. </w:t>
      </w:r>
      <w:r>
        <w:rPr>
          <w:rStyle w:val="Satznummer"/>
        </w:rPr>
        <w:t>2</w:t>
      </w:r>
      <w:r>
        <w:t xml:space="preserve">Die Zielgrößen müssen den angestrebten Frauenanteil an der jeweiligen Führungsebene beschreiben und bei Angaben in Prozent vollen Personenzahlen entsprechen. </w:t>
      </w:r>
      <w:r>
        <w:rPr>
          <w:rStyle w:val="Satznummer"/>
        </w:rPr>
        <w:t>3</w:t>
      </w:r>
      <w:r>
        <w:t xml:space="preserve">Legt der Vorstand für den Frauenanteil auf einer der Führungsebenen die Zielgröße Null fest, so hat er diesen Beschluss klar und verständlich zu begründen. </w:t>
      </w:r>
      <w:r>
        <w:rPr>
          <w:rStyle w:val="Satznummer"/>
        </w:rPr>
        <w:t>4</w:t>
      </w:r>
      <w:r>
        <w:t xml:space="preserve">Die Begründung muss ausführlich die Erwägungen darlegen, die der Entscheidung zugrunde liegen. </w:t>
      </w:r>
      <w:r>
        <w:rPr>
          <w:rStyle w:val="Satznummer"/>
        </w:rPr>
        <w:t>5</w:t>
      </w:r>
      <w:r>
        <w:t xml:space="preserve">Liegt der Frauenanteil bei Festlegung der Zielgrößen unter 30 Prozent, so dürfen die Zielgrößen den jeweils erreichten Anteil nicht mehr unterschreiten. </w:t>
      </w:r>
      <w:r>
        <w:rPr>
          <w:rStyle w:val="Satznummer"/>
        </w:rPr>
        <w:t>6</w:t>
      </w:r>
      <w:r>
        <w:t xml:space="preserve">Gleichzeitig sind Fristen zur Erreichung der Zielgrößen festzulegen. </w:t>
      </w:r>
      <w:r>
        <w:rPr>
          <w:rStyle w:val="Satznummer"/>
        </w:rPr>
        <w:t>7</w:t>
      </w:r>
      <w:r>
        <w:t>Die Fristen dürfen jeweils nicht länger als fünf Jahre sein.</w:t>
      </w:r>
    </w:p>
    <w:p>
      <w:pPr>
        <w:pStyle w:val="Heading4"/>
      </w:pPr>
      <w:bookmarkStart w:id="98" w:name="b97"/>
      <w:r>
        <w:t>§ 77 Geschäftsführung</w:t>
      </w:r>
      <w:r>
        <w:t xml:space="preserve"> </w:t>
      </w:r>
      <w:r>
        <w:rPr>
          <w:rStyle w:val="Suchmarke"/>
        </w:rPr>
        <w:t>#77#</w:t>
      </w:r>
      <w:bookmarkEnd w:id="98"/>
    </w:p>
    <w:p>
      <w:r>
        <w:t xml:space="preserve">(1) </w:t>
      </w:r>
      <w:r>
        <w:rPr>
          <w:rStyle w:val="Satznummer"/>
        </w:rPr>
        <w:t>1</w:t>
      </w:r>
      <w:r>
        <w:t xml:space="preserve">Besteht der Vorstand aus mehreren Personen, so sind sämtliche Vorstandsmitglieder nur gemeinschaftlich zur Geschäftsführung befugt. </w:t>
      </w:r>
      <w:r>
        <w:rPr>
          <w:rStyle w:val="Satznummer"/>
        </w:rPr>
        <w:t>2</w:t>
      </w:r>
      <w:r>
        <w:t>Die Satzung oder die Geschäftsordnung des Vorstands kann Abweichendes bestimmen; es kann jedoch nicht bestimmt werden, daß ein oder mehrere Vorstandsmitglieder Meinungsverschiedenheiten im Vorstand gegen die Mehrheit seiner Mitglieder entscheiden.</w:t>
      </w:r>
    </w:p>
    <w:p>
      <w:r>
        <w:t xml:space="preserve">(2) </w:t>
      </w:r>
      <w:r>
        <w:rPr>
          <w:rStyle w:val="Satznummer"/>
        </w:rPr>
        <w:t>1</w:t>
      </w:r>
      <w:r>
        <w:t xml:space="preserve">Der Vorstand kann sich eine Geschäftsordnung geben, wenn nicht die Satzung den Erlaß der Geschäftsordnung dem Aufsichtsrat übertragen hat oder der Aufsichtsrat eine Geschäftsordnung für den Vorstand erläßt. </w:t>
      </w:r>
      <w:r>
        <w:rPr>
          <w:rStyle w:val="Satznummer"/>
        </w:rPr>
        <w:t>2</w:t>
      </w:r>
      <w:r>
        <w:t xml:space="preserve">Die Satzung kann Einzelfragen der Geschäftsordnung bindend regeln. </w:t>
      </w:r>
      <w:r>
        <w:rPr>
          <w:rStyle w:val="Satznummer"/>
        </w:rPr>
        <w:t>3</w:t>
      </w:r>
      <w:r>
        <w:t>Beschlüsse des Vorstands über die Geschäftsordnung müssen einstimmig gefaßt werden.</w:t>
      </w:r>
    </w:p>
    <w:p>
      <w:pPr>
        <w:pStyle w:val="Heading4"/>
      </w:pPr>
      <w:bookmarkStart w:id="99" w:name="b98"/>
      <w:r>
        <w:t>§ 78 Vertretung</w:t>
      </w:r>
      <w:r>
        <w:t xml:space="preserve"> </w:t>
      </w:r>
      <w:r>
        <w:rPr>
          <w:rStyle w:val="Suchmarke"/>
        </w:rPr>
        <w:t>#78#</w:t>
      </w:r>
      <w:bookmarkEnd w:id="99"/>
    </w:p>
    <w:p>
      <w:r>
        <w:t xml:space="preserve">(1) </w:t>
      </w:r>
      <w:r>
        <w:rPr>
          <w:rStyle w:val="Satznummer"/>
        </w:rPr>
        <w:t>1</w:t>
      </w:r>
      <w:r>
        <w:t xml:space="preserve">Der Vorstand vertritt die Gesellschaft gerichtlich und außergerichtlich. </w:t>
      </w:r>
      <w:r>
        <w:rPr>
          <w:rStyle w:val="Satznummer"/>
        </w:rPr>
        <w:t>2</w:t>
      </w:r>
      <w:r>
        <w:t>Hat eine Gesellschaft keinen Vorstand (Führungslosigkeit), wird die Gesellschaft für den Fall, dass ihr gegenüber Willenserklärungen abgegeben oder Schriftstücke zugestellt werden, durch den Aufsichtsrat vertreten.</w:t>
      </w:r>
    </w:p>
    <w:p>
      <w:r>
        <w:t xml:space="preserve">(2) </w:t>
      </w:r>
      <w:r>
        <w:rPr>
          <w:rStyle w:val="Satznummer"/>
        </w:rPr>
        <w:t>1</w:t>
      </w:r>
      <w:r>
        <w:t xml:space="preserve">Besteht der Vorstand aus mehreren Personen, so sind, wenn die Satzung nichts anderes bestimmt, sämtliche Vorstandsmitglieder nur gemeinschaftlich zur Vertretung der Gesellschaft befugt. </w:t>
      </w:r>
      <w:r>
        <w:rPr>
          <w:rStyle w:val="Satznummer"/>
        </w:rPr>
        <w:t>2</w:t>
      </w:r>
      <w:r>
        <w:t xml:space="preserve">Ist eine Willenserklärung gegenüber der Gesellschaft abzugeben, so genügt die Abgabe gegenüber einem Vorstandsmitglied oder im Fall des Absatzes 1 Satz 2 gegenüber einem Aufsichtsratsmitglied. </w:t>
      </w:r>
      <w:r>
        <w:rPr>
          <w:rStyle w:val="Satznummer"/>
        </w:rPr>
        <w:t>3</w:t>
      </w:r>
      <w:r>
        <w:t xml:space="preserve">An die Vertreter der Gesellschaft nach Absatz 1 können unter der im Handelsregister eingetragenen Geschäftsanschrift Willenserklärungen gegenüber der Gesellschaft abgegeben und Schriftstücke für die Gesellschaft zugestellt werden. </w:t>
      </w:r>
      <w:r>
        <w:rPr>
          <w:rStyle w:val="Satznummer"/>
        </w:rPr>
        <w:t>4</w:t>
      </w:r>
      <w:r>
        <w:t xml:space="preserve">Unabhängig hiervon können die Abgabe und die Zustellung auch unter der eingetragenen Anschrift der empfangsberechtigten Person nach </w:t>
      </w:r>
      <w:hyperlink w:anchor="b45" w:history="1">
        <w:r>
          <w:rPr>
            <w:color w:val="0A3A8C"/>
            <w:u w:val="single"/>
          </w:rPr>
          <w:t xml:space="preserve">§ 39</w:t>
        </w:r>
      </w:hyperlink>
      <w:r>
        <w:t xml:space="preserve"> Abs. 1 Satz 2 erfolgen.</w:t>
      </w:r>
    </w:p>
    <w:p>
      <w:r>
        <w:t xml:space="preserve">(3) </w:t>
      </w:r>
      <w:r>
        <w:rPr>
          <w:rStyle w:val="Satznummer"/>
        </w:rPr>
        <w:t>1</w:t>
      </w:r>
      <w:r>
        <w:t xml:space="preserve">Die Satzung kann auch bestimmen, daß einzelne Vorstandsmitglieder allein oder in Gemeinschaft mit einem Prokuristen zur Vertretung der Gesellschaft befugt sind. </w:t>
      </w:r>
      <w:r>
        <w:rPr>
          <w:rStyle w:val="Satznummer"/>
        </w:rPr>
        <w:t>2</w:t>
      </w:r>
      <w:r>
        <w:t xml:space="preserve">Dasselbe kann der Aufsichtsrat bestimmen, wenn die Satzung ihn hierzu ermächtigt hat. </w:t>
      </w:r>
      <w:r>
        <w:rPr>
          <w:rStyle w:val="Satznummer"/>
        </w:rPr>
        <w:t>3</w:t>
      </w:r>
      <w:r>
        <w:t>Absatz 2 Satz 2 gilt in diesen Fällen sinngemäß.</w:t>
      </w:r>
    </w:p>
    <w:p>
      <w:r>
        <w:t xml:space="preserve">(4) </w:t>
      </w:r>
      <w:r>
        <w:rPr>
          <w:rStyle w:val="Satznummer"/>
        </w:rPr>
        <w:t>1</w:t>
      </w:r>
      <w:r>
        <w:t xml:space="preserve">Zur Gesamtvertretung befugte Vorstandsmitglieder können einzelne von ihnen zur Vornahme bestimmter Geschäfte oder bestimmter Arten von Geschäften ermächtigen. </w:t>
      </w:r>
      <w:r>
        <w:rPr>
          <w:rStyle w:val="Satznummer"/>
        </w:rPr>
        <w:t>2</w:t>
      </w:r>
      <w:r>
        <w:t>Dies gilt sinngemäß, wenn ein einzelnes Vorstandsmitglied in Gemeinschaft mit einem Prokuristen zur Vertretung der Gesellschaft befugt ist.</w:t>
      </w:r>
    </w:p>
    <w:p>
      <w:pPr>
        <w:pStyle w:val="Heading4"/>
      </w:pPr>
      <w:bookmarkStart w:id="100" w:name="b99"/>
      <w:r>
        <w:t>§ 79 (weggefallen)</w:t>
      </w:r>
      <w:r>
        <w:t xml:space="preserve"> </w:t>
      </w:r>
      <w:r>
        <w:rPr>
          <w:rStyle w:val="Suchmarke"/>
        </w:rPr>
        <w:t>#79#</w:t>
      </w:r>
      <w:bookmarkEnd w:id="100"/>
    </w:p>
    <w:p>
      <w:r>
        <w:t>-</w:t>
      </w:r>
    </w:p>
    <w:p>
      <w:pPr>
        <w:pStyle w:val="Heading4"/>
      </w:pPr>
      <w:bookmarkStart w:id="101" w:name="b100"/>
      <w:r>
        <w:t>§ 80 Angaben auf Geschäftsbriefen</w:t>
      </w:r>
      <w:r>
        <w:t xml:space="preserve"> </w:t>
      </w:r>
      <w:r>
        <w:rPr>
          <w:rStyle w:val="Suchmarke"/>
        </w:rPr>
        <w:t>#80#</w:t>
      </w:r>
      <w:bookmarkEnd w:id="101"/>
    </w:p>
    <w:p>
      <w:r>
        <w:t xml:space="preserve">(1) </w:t>
      </w:r>
      <w:r>
        <w:rPr>
          <w:rStyle w:val="Satznummer"/>
        </w:rPr>
        <w:t>1</w:t>
      </w:r>
      <w:r>
        <w:t xml:space="preserve">Auf allen Geschäftsbriefen gleichviel welcher Form, die an einen bestimmten Empfänger gerichtet werden, müssen die Rechtsform und der Sitz der Gesellschaft, das Registergericht des Sitzes der Gesellschaft und die Nummer, unter der die Gesellschaft in das Handelsregister eingetragen ist, sowie alle Vorstandsmitglieder und der Vorsitzende des Aufsichtsrats mit dem Familiennamen und mindestens einem ausgeschriebenen Vornamen angegeben werden. </w:t>
      </w:r>
      <w:r>
        <w:rPr>
          <w:rStyle w:val="Satznummer"/>
        </w:rPr>
        <w:t>2</w:t>
      </w:r>
      <w:r>
        <w:t xml:space="preserve">Der Vorsitzende des Vorstands ist als solcher zu bezeichnen. </w:t>
      </w:r>
      <w:r>
        <w:rPr>
          <w:rStyle w:val="Satznummer"/>
        </w:rPr>
        <w:t>3</w:t>
      </w:r>
      <w:r>
        <w:t>Werden Angaben über das Kapital der Gesellschaft gemacht, so müssen in jedem Fall das Grundkapital sowie, wenn auf die Aktien der Ausgabebetrag nicht vollständig eingezahlt ist, der Gesamtbetrag der ausstehenden Einlagen angegeben werden.</w:t>
      </w:r>
    </w:p>
    <w:p>
      <w:r>
        <w:t>(2) Der Angaben nach Absatz 1 Satz 1 und 2 bedarf es nicht bei Mitteilungen oder Berichten, die im Rahmen einer bestehenden Geschäftsverbindung ergehen und für die üblicherweise Vordrucke verwendet werden, in denen lediglich die im Einzelfall erforderlichen besonderen Angaben eingefügt zu werden brauchen.</w:t>
      </w:r>
    </w:p>
    <w:p>
      <w:r>
        <w:t xml:space="preserve">(3) </w:t>
      </w:r>
      <w:r>
        <w:rPr>
          <w:rStyle w:val="Satznummer"/>
        </w:rPr>
        <w:t>1</w:t>
      </w:r>
      <w:r>
        <w:t xml:space="preserve">Bestellscheine gelten als Geschäftsbriefe im Sinne des Absatzes 1. </w:t>
      </w:r>
      <w:r>
        <w:rPr>
          <w:rStyle w:val="Satznummer"/>
        </w:rPr>
        <w:t>2</w:t>
      </w:r>
      <w:r>
        <w:t>Absatz 2 ist auf sie nicht anzuwenden.</w:t>
      </w:r>
    </w:p>
    <w:p>
      <w:r>
        <w:t xml:space="preserve">(4) </w:t>
      </w:r>
      <w:r>
        <w:rPr>
          <w:rStyle w:val="Satznummer"/>
        </w:rPr>
        <w:t>1</w:t>
      </w:r>
      <w:r>
        <w:t xml:space="preserve">Auf allen Geschäftsbriefen und Bestellscheinen, die von einer Zweigniederlassung einer Aktiengesellschaft mit Sitz im Ausland verwendet werden, müssen das Register, bei dem die Zweigniederlassung geführt wird, und die Nummer des Registereintrags angegeben werden; im übrigen gelten die Vorschriften der Absätze 1 bis 3 für die Angaben bezüglich der Haupt- und der Zweigniederlassung, soweit nicht das ausländische Recht Abweichungen nötig macht. </w:t>
      </w:r>
      <w:r>
        <w:rPr>
          <w:rStyle w:val="Satznummer"/>
        </w:rPr>
        <w:t>2</w:t>
      </w:r>
      <w:r>
        <w:t>Befindet sich die ausländische Gesellschaft in Abwicklung, so sind auch diese Tatsache sowie alle Abwickler anzugeben.</w:t>
      </w:r>
    </w:p>
    <w:p>
      <w:pPr>
        <w:pStyle w:val="Heading4"/>
      </w:pPr>
      <w:bookmarkStart w:id="102" w:name="b101"/>
      <w:r>
        <w:t>§ 81 Änderung des Vorstands und der Vertretungsbefugnis seiner Mitglieder</w:t>
      </w:r>
      <w:r>
        <w:t xml:space="preserve"> </w:t>
      </w:r>
      <w:r>
        <w:rPr>
          <w:rStyle w:val="Suchmarke"/>
        </w:rPr>
        <w:t>#81#</w:t>
      </w:r>
      <w:bookmarkEnd w:id="102"/>
    </w:p>
    <w:p>
      <w:r>
        <w:t>(1) Jede Änderung des Vorstands oder der Vertretungsbefugnis eines Vorstandsmitglieds hat der Vorstand zur Eintragung in das Handelsregister anzumelden.</w:t>
      </w:r>
    </w:p>
    <w:p>
      <w:r>
        <w:t>(2) Der Anmeldung sind die Urkunden über die Änderung in Urschrift oder öffentlich beglaubigter Abschrift beizufügen.</w:t>
      </w:r>
    </w:p>
    <w:p>
      <w:r>
        <w:t xml:space="preserve">(3) </w:t>
      </w:r>
      <w:r>
        <w:rPr>
          <w:rStyle w:val="Satznummer"/>
        </w:rPr>
        <w:t>1</w:t>
      </w:r>
      <w:r>
        <w:t xml:space="preserve">Die neuen Vorstandsmitglieder haben in der Anmeldung zu versichern, daß keine Umstände vorliegen, die ihre Bestellung nach </w:t>
      </w:r>
      <w:hyperlink w:anchor="b96" w:history="1">
        <w:r>
          <w:rPr>
            <w:color w:val="0A3A8C"/>
            <w:u w:val="single"/>
          </w:rPr>
          <w:t xml:space="preserve">§ 76</w:t>
        </w:r>
      </w:hyperlink>
      <w:r>
        <w:t xml:space="preserve"> Abs. 3 Satz 2 Nr. 2 und 3 sowie Satz 3 und 4 entgegenstehen, und daß sie über ihre unbeschränkte Auskunftspflicht gegenüber dem Gericht belehrt worden sind. </w:t>
      </w:r>
      <w:r>
        <w:rPr>
          <w:rStyle w:val="Satznummer"/>
        </w:rPr>
        <w:t>2</w:t>
      </w:r>
      <w:hyperlink w:anchor="b42" w:history="1">
        <w:r>
          <w:rPr>
            <w:color w:val="0A3A8C"/>
            <w:u w:val="single"/>
          </w:rPr>
          <w:t xml:space="preserve">§ 37</w:t>
        </w:r>
      </w:hyperlink>
      <w:r>
        <w:t xml:space="preserve"> Abs. 2 Satz 2 ist anzuwenden.</w:t>
      </w:r>
    </w:p>
    <w:p>
      <w:r>
        <w:t>(4) (weggefallen)</w:t>
      </w:r>
    </w:p>
    <w:p>
      <w:pPr>
        <w:pStyle w:val="Heading4"/>
      </w:pPr>
      <w:bookmarkStart w:id="103" w:name="b102"/>
      <w:r>
        <w:t>§ 82 Beschränkungen der Vertretungs- und Geschäftsführungsbefugnis</w:t>
      </w:r>
      <w:r>
        <w:t xml:space="preserve"> </w:t>
      </w:r>
      <w:r>
        <w:rPr>
          <w:rStyle w:val="Suchmarke"/>
        </w:rPr>
        <w:t>#82#</w:t>
      </w:r>
      <w:bookmarkEnd w:id="103"/>
    </w:p>
    <w:p>
      <w:r>
        <w:t>(1) Die Vertretungsbefugnis des Vorstands kann nicht beschränkt werden.</w:t>
      </w:r>
    </w:p>
    <w:p>
      <w:r>
        <w:t>(2) Im Verhältnis der Vorstandsmitglieder zur Gesellschaft sind diese verpflichtet, die Beschränkungen einzuhalten, die im Rahmen der Vorschriften über die Aktiengesellschaft die Satzung, der Aufsichtsrat, die Hauptversammlung und die Geschäftsordnungen des Vorstands und des Aufsichtsrats für die Geschäftsführungsbefugnis getroffen haben.</w:t>
      </w:r>
    </w:p>
    <w:p>
      <w:pPr>
        <w:pStyle w:val="Heading4"/>
      </w:pPr>
      <w:bookmarkStart w:id="104" w:name="b103"/>
      <w:r>
        <w:t>§ 83 Vorbereitung und Ausführung von Hauptversammlungsbeschlüssen</w:t>
      </w:r>
      <w:r>
        <w:t xml:space="preserve"> </w:t>
      </w:r>
      <w:r>
        <w:rPr>
          <w:rStyle w:val="Suchmarke"/>
        </w:rPr>
        <w:t>#83#</w:t>
      </w:r>
      <w:bookmarkEnd w:id="104"/>
    </w:p>
    <w:p>
      <w:r>
        <w:t xml:space="preserve">(1) </w:t>
      </w:r>
      <w:r>
        <w:rPr>
          <w:rStyle w:val="Satznummer"/>
        </w:rPr>
        <w:t>1</w:t>
      </w:r>
      <w:r>
        <w:t xml:space="preserve">Der Vorstand ist auf Verlangen der Hauptversammlung verpflichtet, Maßnahmen, die in die Zuständigkeit der Hauptversammlung fallen, vorzubereiten. </w:t>
      </w:r>
      <w:r>
        <w:rPr>
          <w:rStyle w:val="Satznummer"/>
        </w:rPr>
        <w:t>2</w:t>
      </w:r>
      <w:r>
        <w:t xml:space="preserve">Das gleiche gilt für die Vorbereitung und den Abschluß von Verträgen, die nur mit Zustimmung der Hauptversammlung wirksam werden. </w:t>
      </w:r>
      <w:r>
        <w:rPr>
          <w:rStyle w:val="Satznummer"/>
        </w:rPr>
        <w:t>3</w:t>
      </w:r>
      <w:r>
        <w:t>Der Beschluß der Hauptversammlung bedarf der Mehrheiten, die für die Maßnahmen oder für die Zustimmung zu dem Vertrag erforderlich sind.</w:t>
      </w:r>
    </w:p>
    <w:p>
      <w:r>
        <w:t>(2) Der Vorstand ist verpflichtet, die von der Hauptversammlung im Rahmen ihrer Zuständigkeit beschlossenen Maßnahmen auszuführen.</w:t>
      </w:r>
    </w:p>
    <w:p>
      <w:pPr>
        <w:pStyle w:val="Heading4"/>
      </w:pPr>
      <w:bookmarkStart w:id="105" w:name="b104"/>
      <w:r>
        <w:t>§ 84 Bestellung und Abberufung des Vorstands</w:t>
      </w:r>
      <w:r>
        <w:t xml:space="preserve"> </w:t>
      </w:r>
      <w:r>
        <w:rPr>
          <w:rStyle w:val="Suchmarke"/>
        </w:rPr>
        <w:t>#84#</w:t>
      </w:r>
      <w:bookmarkEnd w:id="105"/>
    </w:p>
    <w:p>
      <w:r>
        <w:t xml:space="preserve">(1) </w:t>
      </w:r>
      <w:r>
        <w:rPr>
          <w:rStyle w:val="Satznummer"/>
        </w:rPr>
        <w:t>1</w:t>
      </w:r>
      <w:r>
        <w:t xml:space="preserve">Vorstandsmitglieder bestellt der Aufsichtsrat auf höchstens fünf Jahre. </w:t>
      </w:r>
      <w:r>
        <w:rPr>
          <w:rStyle w:val="Satznummer"/>
        </w:rPr>
        <w:t>2</w:t>
      </w:r>
      <w:r>
        <w:t xml:space="preserve">Eine wiederholte Bestellung oder Verlängerung der Amtszeit, jeweils für höchstens fünf Jahre, ist zulässig. </w:t>
      </w:r>
      <w:r>
        <w:rPr>
          <w:rStyle w:val="Satznummer"/>
        </w:rPr>
        <w:t>3</w:t>
      </w:r>
      <w:r>
        <w:t xml:space="preserve">Sie bedarf eines erneuten Aufsichtsratsbeschlusses, der frühestens ein Jahr vor Ablauf der bisherigen Amtszeit gefaßt werden kann. </w:t>
      </w:r>
      <w:r>
        <w:rPr>
          <w:rStyle w:val="Satznummer"/>
        </w:rPr>
        <w:t>4</w:t>
      </w:r>
      <w:r>
        <w:t xml:space="preserve">Nur bei einer Bestellung auf weniger als fünf Jahre kann eine Verlängerung der Amtszeit ohne neuen Aufsichtsratsbeschluß vorgesehen werden, sofern dadurch die gesamte Amtszeit nicht mehr als fünf Jahre beträgt. </w:t>
      </w:r>
      <w:r>
        <w:rPr>
          <w:rStyle w:val="Satznummer"/>
        </w:rPr>
        <w:t>5</w:t>
      </w:r>
      <w:r>
        <w:t>Dies gilt sinngemäß für den Anstellungsvertrag; er kann jedoch vorsehen, daß er für den Fall einer Verlängerung der Amtszeit bis zu deren Ablauf weitergilt.</w:t>
      </w:r>
    </w:p>
    <w:p>
      <w:r>
        <w:t>(2) Werden mehrere Personen zu Vorstandsmitgliedern bestellt, so kann der Aufsichtsrat ein Mitglied zum Vorsitzenden des Vorstands ernennen.</w:t>
      </w:r>
    </w:p>
    <w:p>
      <w:r>
        <w:t xml:space="preserve">(3) </w:t>
      </w:r>
      <w:r>
        <w:rPr>
          <w:rStyle w:val="Satznummer"/>
        </w:rPr>
        <w:t>1</w:t>
      </w:r>
      <w:r>
        <w:t xml:space="preserve">Ein Mitglied eines Vorstands, der aus mehreren Personen besteht, hat das Recht, den Aufsichtsrat um den Widerruf seiner Bestellung zu ersuchen, wenn es wegen Mutterschutz, Elternzeit, der Pflege eines Familienangehörigen oder Krankheit seinen mit der Bestellung verbundenen Pflichten vorübergehend nicht nachkommen kann. </w:t>
      </w:r>
      <w:r>
        <w:rPr>
          <w:rStyle w:val="Satznummer"/>
        </w:rPr>
        <w:t>2</w:t>
      </w:r>
      <w:r>
        <w:t>Macht ein Vorstandsmitglied von diesem Recht Gebrauch, muss der Aufsichtsrat die Bestellung dieses Vorstandsmitglieds</w:t>
      </w:r>
    </w:p>
    <w:p>
      <w:pPr>
        <w:tabs>
          <w:tab w:pos="567" w:val="left"/>
        </w:tabs>
        <w:ind w:left="567" w:hanging="567"/>
      </w:pPr>
      <w:r>
        <w:t>1.</w:t>
      </w:r>
      <w:r>
        <w:tab/>
      </w:r>
      <w:r>
        <w:t>im Fall des Mutterschutzes widerrufen und dabei die Wiederbestellung nach Ablauf des Zeitraums der in § 3 Absatz 1 und 2 des Mutterschutzgesetzes genannten Schutzfristen zusichern,</w:t>
      </w:r>
    </w:p>
    <w:p>
      <w:pPr>
        <w:tabs>
          <w:tab w:pos="567" w:val="left"/>
        </w:tabs>
        <w:ind w:left="567" w:hanging="567"/>
      </w:pPr>
      <w:r>
        <w:t>2.</w:t>
      </w:r>
      <w:r>
        <w:tab/>
      </w:r>
      <w:r>
        <w:t>in den Fällen der Elternzeit, der Pflege eines Familienangehörigen oder der Krankheit widerrufen und dabei die Wiederbestellung nach einem Zeitraum von bis zu drei Monaten entsprechend dem Verlangen des Vorstandsmitglieds zusichern; der Aufsichtsrat kann von dem Widerruf der Bestellung absehen, wenn ein wichtiger Grund vorliegt.</w:t>
      </w:r>
    </w:p>
    <w:p>
      <w:r>
        <w:rPr>
          <w:rStyle w:val="Satznummer"/>
        </w:rPr>
        <w:t>3</w:t>
      </w:r>
      <w:r>
        <w:t xml:space="preserve">In den in Satz 2 Nummer 2 genannten Fällen kann der Aufsichtsrat die Bestellung des Vorstandsmitglieds auf dessen Verlangen mit Zusicherung der Wiederbestellung nach einem Zeitraum von bis zu zwölf Monaten widerrufen. </w:t>
      </w:r>
      <w:r>
        <w:rPr>
          <w:rStyle w:val="Satznummer"/>
        </w:rPr>
        <w:t>4</w:t>
      </w:r>
      <w:r>
        <w:t xml:space="preserve">Das vorgesehene Ende der vorherigen Amtszeit bleibt auch als Ende der Amtszeit nach der Wiederbestellung bestehen. </w:t>
      </w:r>
      <w:r>
        <w:rPr>
          <w:rStyle w:val="Satznummer"/>
        </w:rPr>
        <w:t>5</w:t>
      </w:r>
      <w:r>
        <w:t xml:space="preserve">Im Übrigen bleiben die Regelungen des Absatzes 1 unberührt. </w:t>
      </w:r>
      <w:r>
        <w:rPr>
          <w:rStyle w:val="Satznummer"/>
        </w:rPr>
        <w:t>6</w:t>
      </w:r>
      <w:r>
        <w:t xml:space="preserve">Die Vorgabe des </w:t>
      </w:r>
      <w:hyperlink w:anchor="b96" w:history="1">
        <w:r>
          <w:rPr>
            <w:color w:val="0A3A8C"/>
            <w:u w:val="single"/>
          </w:rPr>
          <w:t xml:space="preserve">§ 76</w:t>
        </w:r>
      </w:hyperlink>
      <w:r>
        <w:t xml:space="preserve"> Absatz 2 Satz 2, dass der Vorstand aus mindestens zwei Personen zu bestehen hat, gilt während des Zeitraums nach den Sätzen 2 oder 3 auch dann als erfüllt, wenn diese Vorgabe ohne den Widerruf eingehalten wäre. </w:t>
      </w:r>
      <w:r>
        <w:rPr>
          <w:rStyle w:val="Satznummer"/>
        </w:rPr>
        <w:t>7</w:t>
      </w:r>
      <w:r>
        <w:t xml:space="preserve">Ein Unterschreiten der in der Satzung festgelegten Mindestzahl an Vorstandsmitgliedern ist während des Zeitraums nach den Sätzen 2 oder 3 unbeachtlich. </w:t>
      </w:r>
      <w:r>
        <w:rPr>
          <w:rStyle w:val="Satznummer"/>
        </w:rPr>
        <w:t>8</w:t>
      </w:r>
      <w:hyperlink w:anchor="b96" w:history="1">
        <w:r>
          <w:rPr>
            <w:color w:val="0A3A8C"/>
            <w:u w:val="single"/>
          </w:rPr>
          <w:t xml:space="preserve">§ 76</w:t>
        </w:r>
      </w:hyperlink>
      <w:r>
        <w:t xml:space="preserve"> Absatz 3a und </w:t>
      </w:r>
      <w:hyperlink w:anchor="b439" w:history="1">
        <w:r>
          <w:rPr>
            <w:color w:val="0A3A8C"/>
            <w:u w:val="single"/>
          </w:rPr>
          <w:t xml:space="preserve">§ 393a</w:t>
        </w:r>
      </w:hyperlink>
      <w:r>
        <w:t xml:space="preserve"> Absatz 2 Nummer 1 finden auf Bestellungen während des Zeitraums nach den Sätzen 2 oder 3 keine Anwendung, wenn das Beteiligungsgebot ohne den Widerruf eingehalten wäre. </w:t>
      </w:r>
      <w:r>
        <w:rPr>
          <w:rStyle w:val="Satznummer"/>
        </w:rPr>
        <w:t>9</w:t>
      </w:r>
      <w:hyperlink w:anchor="b109" w:history="1">
        <w:r>
          <w:rPr>
            <w:color w:val="0A3A8C"/>
            <w:u w:val="single"/>
          </w:rPr>
          <w:t xml:space="preserve">§ 88</w:t>
        </w:r>
      </w:hyperlink>
      <w:r>
        <w:t xml:space="preserve"> ist während des Zeitraums nach den Sätzen 2 oder 3 entsprechend anzuwenden.</w:t>
      </w:r>
    </w:p>
    <w:p>
      <w:r>
        <w:t xml:space="preserve">(4) </w:t>
      </w:r>
      <w:r>
        <w:rPr>
          <w:rStyle w:val="Satznummer"/>
        </w:rPr>
        <w:t>1</w:t>
      </w:r>
      <w:r>
        <w:t xml:space="preserve">Der Aufsichtsrat kann die Bestellung zum Vorstandsmitglied und die Ernennung zum Vorsitzenden des Vorstands widerrufen, wenn ein wichtiger Grund vorliegt. </w:t>
      </w:r>
      <w:r>
        <w:rPr>
          <w:rStyle w:val="Satznummer"/>
        </w:rPr>
        <w:t>2</w:t>
      </w:r>
      <w:r>
        <w:t xml:space="preserve">Ein solcher Grund ist namentlich grobe Pflichtverletzung, Unfähigkeit zur ordnungsmäßigen Geschäftsführung oder Vertrauensentzug durch die Hauptversammlung, es sei denn, daß das Vertrauen aus offenbar unsachlichen Gründen entzogen worden ist. </w:t>
      </w:r>
      <w:r>
        <w:rPr>
          <w:rStyle w:val="Satznummer"/>
        </w:rPr>
        <w:t>3</w:t>
      </w:r>
      <w:r>
        <w:t xml:space="preserve">Dies gilt auch für den vom ersten Aufsichtsrat bestellten Vorstand. </w:t>
      </w:r>
      <w:r>
        <w:rPr>
          <w:rStyle w:val="Satznummer"/>
        </w:rPr>
        <w:t>4</w:t>
      </w:r>
      <w:r>
        <w:t xml:space="preserve">Der Widerruf ist wirksam, bis seine Unwirksamkeit rechtskräftig festgestellt ist. </w:t>
      </w:r>
      <w:r>
        <w:rPr>
          <w:rStyle w:val="Satznummer"/>
        </w:rPr>
        <w:t>5</w:t>
      </w:r>
      <w:r>
        <w:t>Für die Ansprüche aus dem Anstellungsvertrag gelten die allgemeinen Vorschriften.</w:t>
      </w:r>
    </w:p>
    <w:p>
      <w:r>
        <w:t>(5) Die Vorschriften des Montan-Mitbestimmungsgesetzes über die besonderen Mehrheitserfordernisse für einen Aufsichtsratsbeschluß über die Bestellung eines Arbeitsdirektors oder den Widerruf seiner Bestellung bleiben unberührt.</w:t>
      </w:r>
    </w:p>
    <w:p>
      <w:pPr>
        <w:pStyle w:val="Heading4"/>
      </w:pPr>
      <w:bookmarkStart w:id="106" w:name="b105"/>
      <w:r>
        <w:t>§ 85 Bestellung durch das Gericht</w:t>
      </w:r>
      <w:r>
        <w:t xml:space="preserve"> </w:t>
      </w:r>
      <w:r>
        <w:rPr>
          <w:rStyle w:val="Suchmarke"/>
        </w:rPr>
        <w:t>#85#</w:t>
      </w:r>
      <w:bookmarkEnd w:id="106"/>
    </w:p>
    <w:p>
      <w:r>
        <w:t xml:space="preserve">(1) </w:t>
      </w:r>
      <w:r>
        <w:rPr>
          <w:rStyle w:val="Satznummer"/>
        </w:rPr>
        <w:t>1</w:t>
      </w:r>
      <w:r>
        <w:t xml:space="preserve">Fehlt ein erforderliches Vorstandsmitglied, so hat in dringenden Fällen das Gericht auf Antrag eines Beteiligten das Mitglied zu bestellen. </w:t>
      </w:r>
      <w:r>
        <w:rPr>
          <w:rStyle w:val="Satznummer"/>
        </w:rPr>
        <w:t>2</w:t>
      </w:r>
      <w:r>
        <w:t>Gegen die Entscheidung ist die Beschwerde zulässig.</w:t>
      </w:r>
    </w:p>
    <w:p>
      <w:r>
        <w:t xml:space="preserve">(1a) </w:t>
      </w:r>
      <w:hyperlink w:anchor="b96" w:history="1">
        <w:r>
          <w:rPr>
            <w:color w:val="0A3A8C"/>
            <w:u w:val="single"/>
          </w:rPr>
          <w:t xml:space="preserve">§ 76</w:t>
        </w:r>
      </w:hyperlink>
      <w:r>
        <w:t xml:space="preserve"> Absatz 3a gilt auch für die gerichtliche Bestellung.</w:t>
      </w:r>
    </w:p>
    <w:p>
      <w:r>
        <w:t>(2) Das Amt des gerichtlich bestellten Vorstandsmitglieds erlischt in jedem Fall, sobald der Mangel behoben ist.</w:t>
      </w:r>
    </w:p>
    <w:p>
      <w:r>
        <w:t xml:space="preserve">(3) </w:t>
      </w:r>
      <w:r>
        <w:rPr>
          <w:rStyle w:val="Satznummer"/>
        </w:rPr>
        <w:t>1</w:t>
      </w:r>
      <w:r>
        <w:t xml:space="preserve">Das gerichtlich bestellte Vorstandsmitglied hat Anspruch auf Ersatz angemessener barer Auslagen und auf Vergütung für seine Tätigkeit. </w:t>
      </w:r>
      <w:r>
        <w:rPr>
          <w:rStyle w:val="Satznummer"/>
        </w:rPr>
        <w:t>2</w:t>
      </w:r>
      <w:r>
        <w:t xml:space="preserve">Einigen sich das gerichtlich bestellte Vorstandsmitglied und die Gesellschaft nicht, so setzt das Gericht die Auslagen und die Vergütung fest. </w:t>
      </w:r>
      <w:r>
        <w:rPr>
          <w:rStyle w:val="Satznummer"/>
        </w:rPr>
        <w:t>3</w:t>
      </w:r>
      <w:r>
        <w:t xml:space="preserve">Gegen die Entscheidung ist die Beschwerde zulässig; die Rechtsbeschwerde ist ausgeschlossen. </w:t>
      </w:r>
      <w:r>
        <w:rPr>
          <w:rStyle w:val="Satznummer"/>
        </w:rPr>
        <w:t>4</w:t>
      </w:r>
      <w:r>
        <w:t>Aus der rechtskräftigen Entscheidung findet die Zwangsvollstreckung nach der Zivilprozeßordnung statt.</w:t>
      </w:r>
    </w:p>
    <w:p>
      <w:pPr>
        <w:pStyle w:val="Heading4"/>
      </w:pPr>
      <w:bookmarkStart w:id="107" w:name="b106"/>
      <w:r>
        <w:t>§ 86</w:t>
      </w:r>
      <w:r>
        <w:t xml:space="preserve"> </w:t>
      </w:r>
      <w:r>
        <w:rPr>
          <w:rStyle w:val="Suchmarke"/>
        </w:rPr>
        <w:t>#86#</w:t>
      </w:r>
      <w:bookmarkEnd w:id="107"/>
    </w:p>
    <w:p>
      <w:r>
        <w:t>(weggefallen)</w:t>
      </w:r>
    </w:p>
    <w:p>
      <w:pPr>
        <w:pStyle w:val="Heading4"/>
      </w:pPr>
      <w:bookmarkStart w:id="108" w:name="b107"/>
      <w:r>
        <w:t>§ 87 Grundsätze für die Bezüge der Vorstandsmitglieder</w:t>
      </w:r>
      <w:r>
        <w:t xml:space="preserve"> </w:t>
      </w:r>
      <w:r>
        <w:rPr>
          <w:rStyle w:val="Suchmarke"/>
        </w:rPr>
        <w:t>#87#</w:t>
      </w:r>
      <w:bookmarkEnd w:id="108"/>
    </w:p>
    <w:p>
      <w:r>
        <w:t xml:space="preserve">(1) </w:t>
      </w:r>
      <w:r>
        <w:rPr>
          <w:rStyle w:val="Satznummer"/>
        </w:rPr>
        <w:t>1</w:t>
      </w:r>
      <w:r>
        <w:t xml:space="preserve">Der Aufsichtsrat hat bei der Festsetzung der Gesamtbezüge des einzelnen Vorstandsmitglieds (Gehalt, Gewinnbeteiligungen, Aufwandsentschädigungen, Versicherungsentgelte, Provisionen, anreizorientierte Vergütungszusagen wie zum Beispiel Aktienbezugsrechte und Nebenleistungen jeder Art) dafür zu sorgen, dass diese in einem angemessenen Verhältnis zu den Aufgaben und Leistungen des Vorstandsmitglieds sowie zur Lage der Gesellschaft stehen und die übliche Vergütung nicht ohne besondere Gründe übersteigen. </w:t>
      </w:r>
      <w:r>
        <w:rPr>
          <w:rStyle w:val="Satznummer"/>
        </w:rPr>
        <w:t>2</w:t>
      </w:r>
      <w:r>
        <w:t xml:space="preserve">Die Vergütungsstruktur ist bei börsennotierten Gesellschaften auf eine nachhaltige und langfristige Entwicklung der Gesellschaft auszurichten. </w:t>
      </w:r>
      <w:r>
        <w:rPr>
          <w:rStyle w:val="Satznummer"/>
        </w:rPr>
        <w:t>3</w:t>
      </w:r>
      <w:r>
        <w:t xml:space="preserve">Variable Vergütungsbestandteile sollen daher eine mehrjährige Bemessungsgrundlage haben; für außerordentliche Entwicklungen soll der Aufsichtsrat eine Begrenzungsmöglichkeit vereinbaren. </w:t>
      </w:r>
      <w:r>
        <w:rPr>
          <w:rStyle w:val="Satznummer"/>
        </w:rPr>
        <w:t>4</w:t>
      </w:r>
      <w:r>
        <w:t>Satz 1 gilt sinngemäß für Ruhegehalt, Hinterbliebenenbezüge und Leistungen verwandter Art.</w:t>
      </w:r>
    </w:p>
    <w:p>
      <w:r>
        <w:t xml:space="preserve">(2) </w:t>
      </w:r>
      <w:r>
        <w:rPr>
          <w:rStyle w:val="Satznummer"/>
        </w:rPr>
        <w:t>1</w:t>
      </w:r>
      <w:r>
        <w:t xml:space="preserve">Verschlechtert sich die Lage der Gesellschaft nach der Festsetzung so, dass die Weitergewährung der Bezüge nach Absatz 1 unbillig für die Gesellschaft wäre, so soll der Aufsichtsrat oder im Falle des </w:t>
      </w:r>
      <w:hyperlink w:anchor="b105" w:history="1">
        <w:r>
          <w:rPr>
            <w:color w:val="0A3A8C"/>
            <w:u w:val="single"/>
          </w:rPr>
          <w:t xml:space="preserve">§ 85</w:t>
        </w:r>
      </w:hyperlink>
      <w:r>
        <w:t xml:space="preserve"> Absatz 3 das Gericht auf Antrag des Aufsichtsrats die Bezüge auf die angemessene Höhe herabsetzen. </w:t>
      </w:r>
      <w:r>
        <w:rPr>
          <w:rStyle w:val="Satznummer"/>
        </w:rPr>
        <w:t>2</w:t>
      </w:r>
      <w:r>
        <w:t xml:space="preserve">Ruhegehalt, Hinterbliebenenbezüge und Leistungen verwandter Art können nur in den ersten drei Jahren nach Ausscheiden aus der Gesellschaft nach Satz 1 herabgesetzt werden. </w:t>
      </w:r>
      <w:r>
        <w:rPr>
          <w:rStyle w:val="Satznummer"/>
        </w:rPr>
        <w:t>3</w:t>
      </w:r>
      <w:r>
        <w:t xml:space="preserve">Durch eine Herabsetzung wird der Anstellungsvertrag im übrigen nicht berührt. </w:t>
      </w:r>
      <w:r>
        <w:rPr>
          <w:rStyle w:val="Satznummer"/>
        </w:rPr>
        <w:t>4</w:t>
      </w:r>
      <w:r>
        <w:t>Das Vorstandsmitglied kann jedoch seinen Anstellungsvertrag für den Schluß des nächsten Kalendervierteljahrs mit einer Kündigungsfrist von sechs Wochen kündigen.</w:t>
      </w:r>
    </w:p>
    <w:p>
      <w:r>
        <w:t>(3) Wird über das Vermögen der Gesellschaft das Insolvenzverfahren eröffnet und kündigt der Insolvenzverwalter den Anstellungsvertrag eines Vorstandsmitglieds, so kann es Ersatz für den Schaden, der ihm durch die Aufhebung des Dienstverhältnisses entsteht, nur für zwei Jahre seit dem Ablauf des Dienstverhältnisses verlangen.</w:t>
      </w:r>
    </w:p>
    <w:p>
      <w:r>
        <w:t xml:space="preserve">(4) Die Hauptversammlung kann auf Antrag nach </w:t>
      </w:r>
      <w:hyperlink w:anchor="b153" w:history="1">
        <w:r>
          <w:rPr>
            <w:color w:val="0A3A8C"/>
            <w:u w:val="single"/>
          </w:rPr>
          <w:t xml:space="preserve">§ 122</w:t>
        </w:r>
      </w:hyperlink>
      <w:r>
        <w:t xml:space="preserve"> Absatz 2 Satz 1 die nach </w:t>
      </w:r>
      <w:hyperlink w:anchor="b108" w:history="1">
        <w:r>
          <w:rPr>
            <w:color w:val="0A3A8C"/>
            <w:u w:val="single"/>
          </w:rPr>
          <w:t xml:space="preserve">§ 87a</w:t>
        </w:r>
      </w:hyperlink>
      <w:r>
        <w:t xml:space="preserve"> Absatz 1 Satz 2 Nummer 1 festgelegte Maximalvergütung herabsetzen.</w:t>
      </w:r>
    </w:p>
    <w:p>
      <w:pPr>
        <w:pStyle w:val="Heading4"/>
      </w:pPr>
      <w:bookmarkStart w:id="109" w:name="b108"/>
      <w:r>
        <w:t>§ 87a Vergütungssystem börsennotierter Gesellschaften</w:t>
      </w:r>
      <w:r>
        <w:t xml:space="preserve"> </w:t>
      </w:r>
      <w:r>
        <w:rPr>
          <w:rStyle w:val="Suchmarke"/>
        </w:rPr>
        <w:t>#87a#</w:t>
      </w:r>
      <w:bookmarkEnd w:id="109"/>
    </w:p>
    <w:p>
      <w:r>
        <w:t xml:space="preserve">(1) </w:t>
      </w:r>
      <w:r>
        <w:rPr>
          <w:rStyle w:val="Satznummer"/>
        </w:rPr>
        <w:t>1</w:t>
      </w:r>
      <w:r>
        <w:t xml:space="preserve">Der Aufsichtsrat der börsennotierten Gesellschaft beschließt ein klares und verständliches System zur Vergütung der Vorstandsmitglieder. </w:t>
      </w:r>
      <w:r>
        <w:rPr>
          <w:rStyle w:val="Satznummer"/>
        </w:rPr>
        <w:t>2</w:t>
      </w:r>
      <w:r>
        <w:t>Dieses Vergütungssystem enthält mindestens die folgenden Angaben, in Bezug auf Vergütungsbestandteile jedoch nur, soweit diese tatsächlich vorgesehen sind:</w:t>
      </w:r>
    </w:p>
    <w:p>
      <w:pPr>
        <w:tabs>
          <w:tab w:pos="567" w:val="left"/>
        </w:tabs>
        <w:ind w:left="567" w:hanging="567"/>
      </w:pPr>
      <w:r>
        <w:t>1.</w:t>
      </w:r>
      <w:r>
        <w:tab/>
      </w:r>
      <w:r>
        <w:t>die Festlegung einer Maximalvergütung der Vorstandsmitglieder;</w:t>
      </w:r>
    </w:p>
    <w:p>
      <w:pPr>
        <w:tabs>
          <w:tab w:pos="567" w:val="left"/>
        </w:tabs>
        <w:ind w:left="567" w:hanging="567"/>
      </w:pPr>
      <w:r>
        <w:t>2.</w:t>
      </w:r>
      <w:r>
        <w:tab/>
      </w:r>
      <w:r>
        <w:t>den Beitrag der Vergütung zur Förderung der Geschäftsstrategie und zur langfristigen Entwicklung der Gesellschaft;</w:t>
      </w:r>
    </w:p>
    <w:p>
      <w:pPr>
        <w:tabs>
          <w:tab w:pos="567" w:val="left"/>
        </w:tabs>
        <w:ind w:left="567" w:hanging="567"/>
      </w:pPr>
      <w:r>
        <w:t>3.</w:t>
      </w:r>
      <w:r>
        <w:tab/>
      </w:r>
      <w:r>
        <w:t>alle festen und variablen Vergütungsbestandteile und ihren jeweiligen relativen Anteil an der Vergütung;</w:t>
      </w:r>
    </w:p>
    <w:p>
      <w:pPr>
        <w:tabs>
          <w:tab w:pos="567" w:val="left"/>
        </w:tabs>
        <w:ind w:left="567" w:hanging="567"/>
      </w:pPr>
      <w:r>
        <w:t>4.</w:t>
      </w:r>
      <w:r>
        <w:tab/>
      </w:r>
      <w:r>
        <w:t>alle finanziellen und nichtfinanziellen Leistungskriterien für die Gewährung variabler Vergütungsbestandteile einschließlich</w:t>
      </w:r>
    </w:p>
    <w:p>
      <w:pPr>
        <w:tabs>
          <w:tab w:pos="1134" w:val="left"/>
        </w:tabs>
        <w:ind w:left="1134" w:hanging="567"/>
      </w:pPr>
      <w:r>
        <w:t>a)</w:t>
      </w:r>
      <w:r>
        <w:tab/>
      </w:r>
      <w:r>
        <w:t>einer Erläuterung, wie diese Kriterien zur Förderung der Ziele gemäß Nummer 2 beitragen, und</w:t>
      </w:r>
    </w:p>
    <w:p>
      <w:pPr>
        <w:tabs>
          <w:tab w:pos="1134" w:val="left"/>
        </w:tabs>
        <w:ind w:left="1134" w:hanging="567"/>
      </w:pPr>
      <w:r>
        <w:t>b)</w:t>
      </w:r>
      <w:r>
        <w:tab/>
      </w:r>
      <w:r>
        <w:t>einer Darstellung der Methoden, mit denen die Erreichung der Leistungskriterien festgestellt wird;</w:t>
      </w:r>
    </w:p>
    <w:p>
      <w:pPr>
        <w:tabs>
          <w:tab w:pos="567" w:val="left"/>
        </w:tabs>
        <w:ind w:left="567" w:hanging="567"/>
      </w:pPr>
      <w:r>
        <w:t>5.</w:t>
      </w:r>
      <w:r>
        <w:tab/>
      </w:r>
      <w:r>
        <w:t>Aufschubzeiten für die Auszahlung von Vergütungsbestandteilen;</w:t>
      </w:r>
    </w:p>
    <w:p>
      <w:pPr>
        <w:tabs>
          <w:tab w:pos="567" w:val="left"/>
        </w:tabs>
        <w:ind w:left="567" w:hanging="567"/>
      </w:pPr>
      <w:r>
        <w:t>6.</w:t>
      </w:r>
      <w:r>
        <w:tab/>
      </w:r>
      <w:r>
        <w:t>Möglichkeiten der Gesellschaft, variable Vergütungsbestandteile zurückzufordern;</w:t>
      </w:r>
    </w:p>
    <w:p>
      <w:pPr>
        <w:tabs>
          <w:tab w:pos="567" w:val="left"/>
        </w:tabs>
        <w:ind w:left="567" w:hanging="567"/>
      </w:pPr>
      <w:r>
        <w:t>7.</w:t>
      </w:r>
      <w:r>
        <w:tab/>
      </w:r>
      <w:r>
        <w:t>im Falle aktienbasierter Vergütung:</w:t>
      </w:r>
    </w:p>
    <w:p>
      <w:pPr>
        <w:tabs>
          <w:tab w:pos="1134" w:val="left"/>
        </w:tabs>
        <w:ind w:left="1134" w:hanging="567"/>
      </w:pPr>
      <w:r>
        <w:t>a)</w:t>
      </w:r>
      <w:r>
        <w:tab/>
      </w:r>
      <w:r>
        <w:t>Fristen,</w:t>
      </w:r>
    </w:p>
    <w:p>
      <w:pPr>
        <w:tabs>
          <w:tab w:pos="1134" w:val="left"/>
        </w:tabs>
        <w:ind w:left="1134" w:hanging="567"/>
      </w:pPr>
      <w:r>
        <w:t>b)</w:t>
      </w:r>
      <w:r>
        <w:tab/>
      </w:r>
      <w:r>
        <w:t>die Bedingungen für das Halten von Aktien nach dem Erwerb und</w:t>
      </w:r>
    </w:p>
    <w:p>
      <w:pPr>
        <w:tabs>
          <w:tab w:pos="1134" w:val="left"/>
        </w:tabs>
        <w:ind w:left="1134" w:hanging="567"/>
      </w:pPr>
      <w:r>
        <w:t>c)</w:t>
      </w:r>
      <w:r>
        <w:tab/>
      </w:r>
      <w:r>
        <w:t>eine Erläuterung, wie diese Vergütung zur Förderung der Ziele gemäß Nummer 2 beiträgt;</w:t>
      </w:r>
    </w:p>
    <w:p>
      <w:pPr>
        <w:tabs>
          <w:tab w:pos="567" w:val="left"/>
        </w:tabs>
        <w:ind w:left="567" w:hanging="567"/>
      </w:pPr>
      <w:r>
        <w:t>8.</w:t>
      </w:r>
      <w:r>
        <w:tab/>
      </w:r>
      <w:r>
        <w:t>hinsichtlich vergütungsbezogener Rechtsgeschäfte:</w:t>
      </w:r>
    </w:p>
    <w:p>
      <w:pPr>
        <w:tabs>
          <w:tab w:pos="1134" w:val="left"/>
        </w:tabs>
        <w:ind w:left="1134" w:hanging="567"/>
      </w:pPr>
      <w:r>
        <w:t>a)</w:t>
      </w:r>
      <w:r>
        <w:tab/>
      </w:r>
      <w:r>
        <w:t>die Laufzeiten und die Voraussetzungen ihrer Beendigung, einschließlich der jeweiligen Kündigungsfristen,</w:t>
      </w:r>
    </w:p>
    <w:p>
      <w:pPr>
        <w:tabs>
          <w:tab w:pos="1134" w:val="left"/>
        </w:tabs>
        <w:ind w:left="1134" w:hanging="567"/>
      </w:pPr>
      <w:r>
        <w:t>b)</w:t>
      </w:r>
      <w:r>
        <w:tab/>
      </w:r>
      <w:r>
        <w:t>etwaige Zusagen von Entlassungsentschädigungen und</w:t>
      </w:r>
    </w:p>
    <w:p>
      <w:pPr>
        <w:tabs>
          <w:tab w:pos="1134" w:val="left"/>
        </w:tabs>
        <w:ind w:left="1134" w:hanging="567"/>
      </w:pPr>
      <w:r>
        <w:t>c)</w:t>
      </w:r>
      <w:r>
        <w:tab/>
      </w:r>
      <w:r>
        <w:t>die Hauptmerkmale der Ruhegehalts- und Vorruhestandsregelungen;</w:t>
      </w:r>
    </w:p>
    <w:p>
      <w:pPr>
        <w:tabs>
          <w:tab w:pos="567" w:val="left"/>
        </w:tabs>
        <w:ind w:left="567" w:hanging="567"/>
      </w:pPr>
      <w:r>
        <w:t>9.</w:t>
      </w:r>
      <w:r>
        <w:tab/>
      </w:r>
      <w:r>
        <w:t>eine Erläuterung, wie die Vergütungs- und Beschäftigungsbedingungen der Arbeitnehmer bei der Festsetzung des Vergütungssystems berücksichtigt wurden, einschließlich einer Erläuterung, welcher Kreis von Arbeitnehmern einbezogen wurde;</w:t>
      </w:r>
    </w:p>
    <w:p>
      <w:pPr>
        <w:tabs>
          <w:tab w:pos="567" w:val="left"/>
        </w:tabs>
        <w:ind w:left="567" w:hanging="567"/>
      </w:pPr>
      <w:r>
        <w:t>10.</w:t>
      </w:r>
      <w:r>
        <w:tab/>
      </w:r>
      <w:r>
        <w:t>eine Darstellung des Verfahrens zur Fest- und zur Umsetzung sowie zur Überprüfung des Vergütungssystems, einschließlich der Rolle eventuell betroffener Ausschüsse und der Maßnahmen zur Vermeidung und zur Behandlung von Interessenkonflikten;</w:t>
      </w:r>
    </w:p>
    <w:p>
      <w:pPr>
        <w:tabs>
          <w:tab w:pos="567" w:val="left"/>
        </w:tabs>
        <w:ind w:left="567" w:hanging="567"/>
      </w:pPr>
      <w:r>
        <w:t>11.</w:t>
      </w:r>
      <w:r>
        <w:tab/>
      </w:r>
      <w:r>
        <w:t xml:space="preserve">im Fall der Vorlage eines gemäß </w:t>
      </w:r>
      <w:hyperlink w:anchor="b150" w:history="1">
        <w:r>
          <w:rPr>
            <w:color w:val="0A3A8C"/>
            <w:u w:val="single"/>
          </w:rPr>
          <w:t xml:space="preserve">§ 120a</w:t>
        </w:r>
      </w:hyperlink>
      <w:r>
        <w:t xml:space="preserve"> Absatz 3 überprüften Vergütungssystems:</w:t>
      </w:r>
    </w:p>
    <w:p>
      <w:pPr>
        <w:tabs>
          <w:tab w:pos="1134" w:val="left"/>
        </w:tabs>
        <w:ind w:left="1134" w:hanging="567"/>
      </w:pPr>
      <w:r>
        <w:t>a)</w:t>
      </w:r>
      <w:r>
        <w:tab/>
      </w:r>
      <w:r>
        <w:t>eine Erläuterung aller wesentlichen Änderungen und</w:t>
      </w:r>
    </w:p>
    <w:p>
      <w:pPr>
        <w:tabs>
          <w:tab w:pos="1134" w:val="left"/>
        </w:tabs>
        <w:ind w:left="1134" w:hanging="567"/>
      </w:pPr>
      <w:r>
        <w:t>b)</w:t>
      </w:r>
      <w:r>
        <w:tab/>
      </w:r>
      <w:r>
        <w:t>eine Übersicht, inwieweit Abstimmung und Äußerungen der Aktionäre in Bezug auf das Vergütungssystem und die Vergütungsberichte berücksichtigt wurden.</w:t>
      </w:r>
    </w:p>
    <w:p>
      <w:r>
        <w:t xml:space="preserve">(2) </w:t>
      </w:r>
      <w:r>
        <w:rPr>
          <w:rStyle w:val="Satznummer"/>
        </w:rPr>
        <w:t>1</w:t>
      </w:r>
      <w:r>
        <w:t xml:space="preserve">Der Aufsichtsrat der börsennotierten Gesellschaft hat die Vergütung der Vorstandsmitglieder in Übereinstimmung mit einem der Hauptversammlung nach § 120a Absatz 1 zur Billigung vorgelegten Vergütungssystem festzusetzen. </w:t>
      </w:r>
      <w:r>
        <w:rPr>
          <w:rStyle w:val="Satznummer"/>
        </w:rPr>
        <w:t>2</w:t>
      </w:r>
      <w:r>
        <w:t>Der Aufsichtsrat kann vorübergehend von dem Vergütungssystem abweichen, wenn dies im Interesse des langfristigen Wohlergehens der Gesellschaft notwendig ist und das Vergütungssystem das Verfahren des Abweichens sowie die Bestandteile des Vergütungssystems, von denen abgewichen werden kann, benennt.</w:t>
      </w:r>
    </w:p>
    <w:p>
      <w:pPr>
        <w:pStyle w:val="Heading4"/>
      </w:pPr>
      <w:bookmarkStart w:id="110" w:name="b109"/>
      <w:r>
        <w:t>§ 88 Wettbewerbsverbot</w:t>
      </w:r>
      <w:r>
        <w:t xml:space="preserve"> </w:t>
      </w:r>
      <w:r>
        <w:rPr>
          <w:rStyle w:val="Suchmarke"/>
        </w:rPr>
        <w:t>#88#</w:t>
      </w:r>
      <w:bookmarkEnd w:id="110"/>
    </w:p>
    <w:p>
      <w:r>
        <w:t xml:space="preserve">(1) </w:t>
      </w:r>
      <w:r>
        <w:rPr>
          <w:rStyle w:val="Satznummer"/>
        </w:rPr>
        <w:t>1</w:t>
      </w:r>
      <w:r>
        <w:t xml:space="preserve">Die Vorstandsmitglieder dürfen ohne Einwilligung des Aufsichtsrats weder ein Handelsgewerbe betreiben noch im Geschäftszweig der Gesellschaft für eigene oder fremde Rechnung Geschäfte machen. </w:t>
      </w:r>
      <w:r>
        <w:rPr>
          <w:rStyle w:val="Satznummer"/>
        </w:rPr>
        <w:t>2</w:t>
      </w:r>
      <w:r>
        <w:t xml:space="preserve">Sie dürfen ohne Einwilligung auch nicht Mitglied des Vorstands oder Geschäftsführer oder persönlich haftender Gesellschafter einer anderen Handelsgesellschaft sein. </w:t>
      </w:r>
      <w:r>
        <w:rPr>
          <w:rStyle w:val="Satznummer"/>
        </w:rPr>
        <w:t>3</w:t>
      </w:r>
      <w:r>
        <w:t>Die Einwilligung des Aufsichtsrats kann nur für bestimmte Handelsgewerbe oder Handelsgesellschaften oder für bestimmte Arten von Geschäften erteilt werden.</w:t>
      </w:r>
    </w:p>
    <w:p>
      <w:r>
        <w:t xml:space="preserve">(2) </w:t>
      </w:r>
      <w:r>
        <w:rPr>
          <w:rStyle w:val="Satznummer"/>
        </w:rPr>
        <w:t>1</w:t>
      </w:r>
      <w:r>
        <w:t xml:space="preserve">Verstößt ein Vorstandsmitglied gegen dieses Verbot, so kann die Gesellschaft Schadenersatz fordern. </w:t>
      </w:r>
      <w:r>
        <w:rPr>
          <w:rStyle w:val="Satznummer"/>
        </w:rPr>
        <w:t>2</w:t>
      </w:r>
      <w:r>
        <w:t>Sie kann statt dessen von dem Mitglied verlangen, daß es die für eigene Rechnung gemachten Geschäfte als für Rechnung der Gesellschaft eingegangen gelten läßt und die aus Geschäften für fremde Rechnung bezogene Vergütung herausgibt oder seinen Anspruch auf die Vergütung abtritt.</w:t>
      </w:r>
    </w:p>
    <w:p>
      <w:r>
        <w:t xml:space="preserve">(3) </w:t>
      </w:r>
      <w:r>
        <w:rPr>
          <w:rStyle w:val="Satznummer"/>
        </w:rPr>
        <w:t>1</w:t>
      </w:r>
      <w:r>
        <w:t xml:space="preserve">Die Ansprüche der Gesellschaft verjähren in drei Monaten seit dem Zeitpunkt, in dem die übrigen Vorstandsmitglieder und die Aufsichtsratsmitglieder von der zum Schadensersatz verpflichtenden Handlung Kenntnis erlangen oder ohne grobe Fahrlässigkeit erlangen müssten. </w:t>
      </w:r>
      <w:r>
        <w:rPr>
          <w:rStyle w:val="Satznummer"/>
        </w:rPr>
        <w:t>2</w:t>
      </w:r>
      <w:r>
        <w:t>Sie verjähren ohne Rücksicht auf diese Kenntnis oder grob fahrlässige Unkenntnis in fünf Jahren von ihrer Entstehung an.</w:t>
      </w:r>
    </w:p>
    <w:p>
      <w:pPr>
        <w:pStyle w:val="Heading4"/>
      </w:pPr>
      <w:bookmarkStart w:id="111" w:name="b110"/>
      <w:r>
        <w:t>§ 89 Kreditgewährung an Vorstandsmitglieder</w:t>
      </w:r>
      <w:r>
        <w:t xml:space="preserve"> </w:t>
      </w:r>
      <w:r>
        <w:rPr>
          <w:rStyle w:val="Suchmarke"/>
        </w:rPr>
        <w:t>#89#</w:t>
      </w:r>
      <w:bookmarkEnd w:id="111"/>
    </w:p>
    <w:p>
      <w:r>
        <w:t xml:space="preserve">(1) </w:t>
      </w:r>
      <w:r>
        <w:rPr>
          <w:rStyle w:val="Satznummer"/>
        </w:rPr>
        <w:t>1</w:t>
      </w:r>
      <w:r>
        <w:t xml:space="preserve">Die Gesellschaft darf ihren Vorstandsmitgliedern Kredit nur auf Grund eines Beschlusses des Aufsichtsrats gewähren. </w:t>
      </w:r>
      <w:r>
        <w:rPr>
          <w:rStyle w:val="Satznummer"/>
        </w:rPr>
        <w:t>2</w:t>
      </w:r>
      <w:r>
        <w:t xml:space="preserve">Der Beschluß kann nur für bestimmte Kreditgeschäfte oder Arten von Kreditgeschäften und nicht für länger als drei Monate im voraus gefaßt werden. </w:t>
      </w:r>
      <w:r>
        <w:rPr>
          <w:rStyle w:val="Satznummer"/>
        </w:rPr>
        <w:t>3</w:t>
      </w:r>
      <w:r>
        <w:t xml:space="preserve">Er hat die Verzinsung und Rückzahlung des Kredits zu regeln. </w:t>
      </w:r>
      <w:r>
        <w:rPr>
          <w:rStyle w:val="Satznummer"/>
        </w:rPr>
        <w:t>4</w:t>
      </w:r>
      <w:r>
        <w:t xml:space="preserve">Der Gewährung eines Kredits steht die Gestattung einer Entnahme gleich, die über die dem Vorstandsmitglied zustehenden Bezüge hinausgeht, namentlich auch die Gestattung der Entnahme von Vorschüssen auf Bezüge. </w:t>
      </w:r>
      <w:r>
        <w:rPr>
          <w:rStyle w:val="Satznummer"/>
        </w:rPr>
        <w:t>5</w:t>
      </w:r>
      <w:r>
        <w:t>Dies gilt nicht für Kredite, die ein Monatsgehalt nicht übersteigen.</w:t>
      </w:r>
    </w:p>
    <w:p>
      <w:r>
        <w:t xml:space="preserve">(2) </w:t>
      </w:r>
      <w:r>
        <w:rPr>
          <w:rStyle w:val="Satznummer"/>
        </w:rPr>
        <w:t>1</w:t>
      </w:r>
      <w:r>
        <w:t xml:space="preserve">Die Gesellschaft darf ihren Prokuristen und zum gesamten Geschäftsbetrieb ermächtigten Handlungsbevollmächtigten Kredit nur mit Einwilligung des Aufsichtsrats gewähren. </w:t>
      </w:r>
      <w:r>
        <w:rPr>
          <w:rStyle w:val="Satznummer"/>
        </w:rPr>
        <w:t>2</w:t>
      </w:r>
      <w:r>
        <w:t xml:space="preserve">Eine herrschende Gesellschaft darf Kredite an gesetzliche Vertreter, Prokuristen oder zum gesamten Geschäftsbetrieb ermächtigte Handlungsbevollmächtigte eines abhängigen Unternehmens nur mit Einwilligung ihres Aufsichtsrats, eine abhängige Gesellschaft darf Kredite an gesetzliche Vertreter, Prokuristen oder zum gesamten Geschäftsbetrieb ermächtigte Handlungsbevollmächtigte des herrschenden Unternehmens nur mit Einwilligung des Aufsichtsrats des herrschenden Unternehmens gewähren. </w:t>
      </w:r>
      <w:r>
        <w:rPr>
          <w:rStyle w:val="Satznummer"/>
        </w:rPr>
        <w:t>3</w:t>
      </w:r>
      <w:r>
        <w:t>Absatz 1 Satz 2 bis 5 gilt sinngemäß.</w:t>
      </w:r>
    </w:p>
    <w:p>
      <w:r>
        <w:t xml:space="preserve">(3) </w:t>
      </w:r>
      <w:r>
        <w:rPr>
          <w:rStyle w:val="Satznummer"/>
        </w:rPr>
        <w:t>1</w:t>
      </w:r>
      <w:r>
        <w:t xml:space="preserve">Absatz 2 gilt auch für Kredite an den Ehegatten, Lebenspartner oder an ein minderjähriges Kind eines Vorstandsmitglieds, eines anderen gesetzlichen Vertreters, eines Prokuristen oder eines zum gesamten Geschäftsbetrieb ermächtigten Handlungsbevollmächtigten. </w:t>
      </w:r>
      <w:r>
        <w:rPr>
          <w:rStyle w:val="Satznummer"/>
        </w:rPr>
        <w:t>2</w:t>
      </w:r>
      <w:r>
        <w:t>Er gilt ferner für Kredite an einen Dritten, der für Rechnung dieser Personen oder für Rechnung eines Vorstandsmitglieds, eines anderen gesetzlichen Vertreters, eines Prokuristen oder eines zum gesamten Geschäftsbetrieb ermächtigten Handlungsbevollmächtigten handelt.</w:t>
      </w:r>
    </w:p>
    <w:p>
      <w:r>
        <w:t xml:space="preserve">(4) </w:t>
      </w:r>
      <w:r>
        <w:rPr>
          <w:rStyle w:val="Satznummer"/>
        </w:rPr>
        <w:t>1</w:t>
      </w:r>
      <w:r>
        <w:t xml:space="preserve">Ist ein Vorstandsmitglied, ein Prokurist oder ein zum gesamten Geschäftsbetrieb ermächtigter Handlungsbevollmächtigter zugleich gesetzlicher Vertreter oder Mitglied des Aufsichtsrats einer anderen juristischen Person oder Gesellschafter einer Personenhandelsgesellschaft, so darf die Gesellschaft der juristischen Person oder der Personenhandelsgesellschaft Kredit nur mit Einwilligung des Aufsichtsrats gewähren; Absatz 1 Satz 2 und 3 gilt sinngemäß. </w:t>
      </w:r>
      <w:r>
        <w:rPr>
          <w:rStyle w:val="Satznummer"/>
        </w:rPr>
        <w:t>2</w:t>
      </w:r>
      <w:r>
        <w:t>Dies gilt nicht, wenn die juristische Person oder die Personenhandelsgesellschaft mit der Gesellschaft verbunden ist oder wenn der Kredit für die Bezahlung von Waren gewährt wird, welche die Gesellschaft der juristischen Person oder der Personenhandelsgesellschaft liefert.</w:t>
      </w:r>
    </w:p>
    <w:p>
      <w:r>
        <w:t>(5) Wird entgegen den Absätzen 1 bis 4 Kredit gewährt, so ist der Kredit ohne Rücksicht auf entgegenstehende Vereinbarungen sofort zurückzugewähren, wenn nicht der Aufsichtsrat nachträglich zustimmt.</w:t>
      </w:r>
    </w:p>
    <w:p>
      <w:r>
        <w:t>(6) Ist die Gesellschaft ein Kreditinstitut oder Finanzdienstleistungsinstitut, auf das § 15 des Gesetzes über das Kreditwesen anzuwenden ist, gelten anstelle der Absätze 1 bis 5 die Vorschriften des Gesetzes über das Kreditwesen.</w:t>
      </w:r>
    </w:p>
    <w:p>
      <w:pPr>
        <w:pStyle w:val="Heading4"/>
      </w:pPr>
      <w:bookmarkStart w:id="112" w:name="b111"/>
      <w:r>
        <w:t>§ 90 Berichte an den Aufsichtsrat</w:t>
      </w:r>
      <w:r>
        <w:t xml:space="preserve"> </w:t>
      </w:r>
      <w:r>
        <w:rPr>
          <w:rStyle w:val="Suchmarke"/>
        </w:rPr>
        <w:t>#90#</w:t>
      </w:r>
      <w:bookmarkEnd w:id="112"/>
    </w:p>
    <w:p>
      <w:r>
        <w:t xml:space="preserve">(1) </w:t>
      </w:r>
      <w:r>
        <w:rPr>
          <w:rStyle w:val="Satznummer"/>
        </w:rPr>
        <w:t>1</w:t>
      </w:r>
      <w:r>
        <w:t>Der Vorstand hat dem Aufsichtsrat zu berichten über</w:t>
      </w:r>
    </w:p>
    <w:p>
      <w:pPr>
        <w:tabs>
          <w:tab w:pos="567" w:val="left"/>
        </w:tabs>
        <w:ind w:left="567" w:hanging="567"/>
      </w:pPr>
      <w:r>
        <w:t>1.</w:t>
      </w:r>
      <w:r>
        <w:tab/>
      </w:r>
      <w:r>
        <w:t>die beabsichtigte Geschäftspolitik und andere grundsätzliche Fragen der Unternehmensplanung (insbesondere die Finanz-, Investitions- und Personalplanung), wobei auf Abweichungen der tatsächlichen Entwicklung von früher berichteten Zielen unter Angabe von Gründen einzugehen ist;</w:t>
      </w:r>
    </w:p>
    <w:p>
      <w:pPr>
        <w:tabs>
          <w:tab w:pos="567" w:val="left"/>
        </w:tabs>
        <w:ind w:left="567" w:hanging="567"/>
      </w:pPr>
      <w:r>
        <w:t>2.</w:t>
      </w:r>
      <w:r>
        <w:tab/>
      </w:r>
      <w:r>
        <w:t>die Rentabilität der Gesellschaft, insbesondere die Rentabilität des Eigenkapitals;</w:t>
      </w:r>
    </w:p>
    <w:p>
      <w:pPr>
        <w:tabs>
          <w:tab w:pos="567" w:val="left"/>
        </w:tabs>
        <w:ind w:left="567" w:hanging="567"/>
      </w:pPr>
      <w:r>
        <w:t>3.</w:t>
      </w:r>
      <w:r>
        <w:tab/>
      </w:r>
      <w:r>
        <w:t>den Gang der Geschäfte, insbesondere den Umsatz, und die Lage der Gesellschaft;</w:t>
      </w:r>
    </w:p>
    <w:p>
      <w:pPr>
        <w:tabs>
          <w:tab w:pos="567" w:val="left"/>
        </w:tabs>
        <w:ind w:left="567" w:hanging="567"/>
      </w:pPr>
      <w:r>
        <w:t>4.</w:t>
      </w:r>
      <w:r>
        <w:tab/>
      </w:r>
      <w:r>
        <w:t>Geschäfte, die für die Rentabilität oder Liquidität der Gesellschaft von erheblicher Bedeutung sein können.</w:t>
      </w:r>
    </w:p>
    <w:p>
      <w:r>
        <w:rPr>
          <w:rStyle w:val="Satznummer"/>
        </w:rPr>
        <w:t>2</w:t>
      </w:r>
      <w:r>
        <w:t xml:space="preserve">Ist die Gesellschaft Mutterunternehmen (§ 290 Abs. 1, 2 des Handelsgesetzbuchs), so hat der Bericht auch auf Tochterunternehmen und auf Gemeinschaftsunternehmen (§ 310 Abs. 1 des Handelsgesetzbuchs) einzugehen. </w:t>
      </w:r>
      <w:r>
        <w:rPr>
          <w:rStyle w:val="Satznummer"/>
        </w:rPr>
        <w:t>3</w:t>
      </w:r>
      <w:r>
        <w:t>Außerdem ist dem Vorsitzenden des Aufsichtsrats aus sonstigen wichtigen Anlässen zu berichten; als wichtiger Anlaß ist auch ein dem Vorstand bekanntgewordener geschäftlicher Vorgang bei einem verbundenen Unternehmen anzusehen, der auf die Lage der Gesellschaft von erheblichem Einfluß sein kann.</w:t>
      </w:r>
    </w:p>
    <w:p>
      <w:r>
        <w:t>(2) Die Berichte nach Absatz 1 Satz 1 Nr. 1 bis 4 sind wie folgt zu erstatten:</w:t>
      </w:r>
    </w:p>
    <w:p>
      <w:pPr>
        <w:tabs>
          <w:tab w:pos="567" w:val="left"/>
        </w:tabs>
        <w:ind w:left="567" w:hanging="567"/>
      </w:pPr>
      <w:r>
        <w:t>1.</w:t>
      </w:r>
      <w:r>
        <w:tab/>
      </w:r>
      <w:r>
        <w:t>die Berichte nach Nummer 1 mindestens einmal jährlich, wenn nicht Änderungen der Lage oder neue Fragen eine unverzügliche Berichterstattung gebieten;</w:t>
      </w:r>
    </w:p>
    <w:p>
      <w:pPr>
        <w:tabs>
          <w:tab w:pos="567" w:val="left"/>
        </w:tabs>
        <w:ind w:left="567" w:hanging="567"/>
      </w:pPr>
      <w:r>
        <w:t>2.</w:t>
      </w:r>
      <w:r>
        <w:tab/>
      </w:r>
      <w:r>
        <w:t>die Berichte nach Nummer 2 in der Sitzung des Aufsichtsrats, in der über den Jahresabschluß verhandelt wird;</w:t>
      </w:r>
    </w:p>
    <w:p>
      <w:pPr>
        <w:tabs>
          <w:tab w:pos="567" w:val="left"/>
        </w:tabs>
        <w:ind w:left="567" w:hanging="567"/>
      </w:pPr>
      <w:r>
        <w:t>3.</w:t>
      </w:r>
      <w:r>
        <w:tab/>
      </w:r>
      <w:r>
        <w:t>die Berichte nach Nummer 3 regelmäßig, mindestens vierteljährlich;</w:t>
      </w:r>
    </w:p>
    <w:p>
      <w:pPr>
        <w:tabs>
          <w:tab w:pos="567" w:val="left"/>
        </w:tabs>
        <w:ind w:left="567" w:hanging="567"/>
      </w:pPr>
      <w:r>
        <w:t>4.</w:t>
      </w:r>
      <w:r>
        <w:tab/>
      </w:r>
      <w:r>
        <w:t>die Berichte nach Nummer 4 möglichst so rechtzeitig, daß der Aufsichtsrat vor Vornahme der Geschäfte Gelegenheit hat, zu ihnen Stellung zu nehmen.</w:t>
      </w:r>
    </w:p>
    <w:p>
      <w:r>
        <w:t xml:space="preserve">(3) </w:t>
      </w:r>
      <w:r>
        <w:rPr>
          <w:rStyle w:val="Satznummer"/>
        </w:rPr>
        <w:t>1</w:t>
      </w:r>
      <w:r>
        <w:t xml:space="preserve">Der Aufsichtsrat kann vom Vorstand jederzeit einen Bericht verlangen über Angelegenheiten der Gesellschaft, über ihre rechtlichen und geschäftlichen Beziehungen zu verbundenen Unternehmen sowie über geschäftliche Vorgänge bei diesen Unternehmen, die auf die Lage der Gesellschaft von erheblichem Einfluß sein können. </w:t>
      </w:r>
      <w:r>
        <w:rPr>
          <w:rStyle w:val="Satznummer"/>
        </w:rPr>
        <w:t>2</w:t>
      </w:r>
      <w:r>
        <w:t>Auch ein einzelnes Mitglied kann einen Bericht, jedoch nur an den Aufsichtsrat, verlangen.</w:t>
      </w:r>
    </w:p>
    <w:p>
      <w:r>
        <w:t xml:space="preserve">(4) </w:t>
      </w:r>
      <w:r>
        <w:rPr>
          <w:rStyle w:val="Satznummer"/>
        </w:rPr>
        <w:t>1</w:t>
      </w:r>
      <w:r>
        <w:t xml:space="preserve">Die Berichte haben den Grundsätzen einer gewissenhaften und getreuen Rechenschaft zu entsprechen. </w:t>
      </w:r>
      <w:r>
        <w:rPr>
          <w:rStyle w:val="Satznummer"/>
        </w:rPr>
        <w:t>2</w:t>
      </w:r>
      <w:r>
        <w:t>Sie sind möglichst rechtzeitig und, mit Ausnahme des Berichts nach Absatz 1 Satz 3, in der Regel in Textform zu erstatten.</w:t>
      </w:r>
    </w:p>
    <w:p>
      <w:r>
        <w:t xml:space="preserve">(5) </w:t>
      </w:r>
      <w:r>
        <w:rPr>
          <w:rStyle w:val="Satznummer"/>
        </w:rPr>
        <w:t>1</w:t>
      </w:r>
      <w:r>
        <w:t xml:space="preserve">Jedes Aufsichtsratsmitglied hat das Recht, von den Berichten Kenntnis zu nehmen. </w:t>
      </w:r>
      <w:r>
        <w:rPr>
          <w:rStyle w:val="Satznummer"/>
        </w:rPr>
        <w:t>2</w:t>
      </w:r>
      <w:r>
        <w:t xml:space="preserve">Soweit die Berichte in Textform erstattet worden sind, sind sie auch jedem Aufsichtsratsmitglied auf Verlangen zu übermitteln, soweit der Aufsichtsrat nichts anderes beschlossen hat. </w:t>
      </w:r>
      <w:r>
        <w:rPr>
          <w:rStyle w:val="Satznummer"/>
        </w:rPr>
        <w:t>3</w:t>
      </w:r>
      <w:r>
        <w:t>Der Vorsitzende des Aufsichtsrats hat die Aufsichtsratsmitglieder über die Berichte nach Absatz 1 Satz 3 spätestens in der nächsten Aufsichtsratssitzung zu unterrichten.</w:t>
      </w:r>
    </w:p>
    <w:p>
      <w:pPr>
        <w:pStyle w:val="Heading4"/>
      </w:pPr>
      <w:bookmarkStart w:id="113" w:name="b112"/>
      <w:r>
        <w:t>§ 91 Organisation. Buchführung</w:t>
      </w:r>
      <w:r>
        <w:t xml:space="preserve"> </w:t>
      </w:r>
      <w:r>
        <w:rPr>
          <w:rStyle w:val="Suchmarke"/>
        </w:rPr>
        <w:t>#91#</w:t>
      </w:r>
      <w:bookmarkEnd w:id="113"/>
    </w:p>
    <w:p>
      <w:r>
        <w:t>(1) Der Vorstand hat dafür zu sorgen, daß die erforderlichen Handelsbücher geführt werden.</w:t>
      </w:r>
    </w:p>
    <w:p>
      <w:r>
        <w:t>(2) Der Vorstand hat geeignete Maßnahmen zu treffen, insbesondere ein Überwachungssystem einzurichten, damit den Fortbestand der Gesellschaft gefährdende Entwicklungen früh erkannt werden.</w:t>
      </w:r>
    </w:p>
    <w:p>
      <w:r>
        <w:t>(3) Der Vorstand einer börsennotierten Gesellschaft hat darüber hinaus ein im Hinblick auf den Umfang der Geschäftstätigkeit und die Risikolage des Unternehmens angemessenes und wirksames internes Kontrollsystem und Risikomanagementsystem einzurichten.</w:t>
      </w:r>
    </w:p>
    <w:p>
      <w:pPr>
        <w:pStyle w:val="Heading4"/>
      </w:pPr>
      <w:bookmarkStart w:id="114" w:name="b113"/>
      <w:r>
        <w:t>§ 92 Vorstandspflichten bei Verlust, Überschuldung oder Zahlungsunfähigkeit</w:t>
      </w:r>
      <w:r>
        <w:t xml:space="preserve"> </w:t>
      </w:r>
      <w:r>
        <w:rPr>
          <w:rStyle w:val="Suchmarke"/>
        </w:rPr>
        <w:t>#92#</w:t>
      </w:r>
      <w:bookmarkEnd w:id="114"/>
    </w:p>
    <w:p>
      <w:r>
        <w:t>(1) Ergibt sich bei Aufstellung der Jahresbilanz oder einer Zwischenbilanz oder ist bei pflichtmäßigem Ermessen anzunehmen, daß ein Verlust in Höhe der Hälfte des Grundkapitals besteht, so hat der Vorstand unverzüglich die Hauptversammlung einzuberufen und ihr dies anzuzeigen.</w:t>
      </w:r>
    </w:p>
    <w:p>
      <w:r>
        <w:t>(2) (weggefallen)</w:t>
      </w:r>
    </w:p>
    <w:p>
      <w:pPr>
        <w:pStyle w:val="Heading4"/>
      </w:pPr>
      <w:bookmarkStart w:id="115" w:name="b114"/>
      <w:r>
        <w:t>§ 93 Sorgfaltspflicht und Verantwortlichkeit der Vorstandsmitglieder</w:t>
      </w:r>
      <w:r>
        <w:t xml:space="preserve"> </w:t>
      </w:r>
      <w:r>
        <w:rPr>
          <w:rStyle w:val="Suchmarke"/>
        </w:rPr>
        <w:t>#93#</w:t>
      </w:r>
      <w:bookmarkEnd w:id="115"/>
    </w:p>
    <w:p>
      <w:r>
        <w:t xml:space="preserve">(1) </w:t>
      </w:r>
      <w:r>
        <w:rPr>
          <w:rStyle w:val="Satznummer"/>
        </w:rPr>
        <w:t>1</w:t>
      </w:r>
      <w:r>
        <w:t xml:space="preserve">Die Vorstandsmitglieder haben bei ihrer Geschäftsführung die Sorgfalt eines ordentlichen und gewissenhaften Geschäftsleiters anzuwenden. </w:t>
      </w:r>
      <w:r>
        <w:rPr>
          <w:rStyle w:val="Satznummer"/>
        </w:rPr>
        <w:t>2</w:t>
      </w:r>
      <w:r>
        <w:t xml:space="preserve">Eine Pflichtverletzung liegt nicht vor, wenn das Vorstandsmitglied bei einer unternehmerischen Entscheidung vernünftigerweise annehmen durfte, auf der Grundlage angemessener Information zum Wohle der Gesellschaft zu handeln. </w:t>
      </w:r>
      <w:r>
        <w:rPr>
          <w:rStyle w:val="Satznummer"/>
        </w:rPr>
        <w:t>3</w:t>
      </w:r>
      <w:r>
        <w:t>Über vertrauliche Angaben und Geheimnisse der Gesellschaft, namentlich Betriebs- oder Geschäftsgeheimnisse, die den Vorstandsmitgliedern durch ihre Tätigkeit im Vorstand bekanntgeworden sind, haben sie Stillschweigen zu bewahren.</w:t>
      </w:r>
    </w:p>
    <w:p>
      <w:r>
        <w:t xml:space="preserve">(2) </w:t>
      </w:r>
      <w:r>
        <w:rPr>
          <w:rStyle w:val="Satznummer"/>
        </w:rPr>
        <w:t>1</w:t>
      </w:r>
      <w:r>
        <w:t xml:space="preserve">Vorstandsmitglieder, die ihre Pflichten verletzen, sind der Gesellschaft zum Ersatz des daraus entstehenden Schadens als Gesamtschuldner verpflichtet. </w:t>
      </w:r>
      <w:r>
        <w:rPr>
          <w:rStyle w:val="Satznummer"/>
        </w:rPr>
        <w:t>2</w:t>
      </w:r>
      <w:r>
        <w:t xml:space="preserve">Ist streitig, ob sie die Sorgfalt eines ordentlichen und gewissenhaften Geschäftsleiters angewandt haben, so trifft sie die Beweislast. </w:t>
      </w:r>
      <w:r>
        <w:rPr>
          <w:rStyle w:val="Satznummer"/>
        </w:rPr>
        <w:t>3</w:t>
      </w:r>
      <w:r>
        <w:t>Schließt die Gesellschaft eine Versicherung zur Absicherung eines Vorstandsmitglieds gegen Risiken aus dessen beruflicher Tätigkeit für die Gesellschaft ab, ist ein Selbstbehalt von mindestens 10 Prozent des Schadens bis mindestens zur Höhe des Eineinhalbfachen der festen jährlichen Vergütung des Vorstandsmitglieds vorzusehen.</w:t>
      </w:r>
    </w:p>
    <w:p>
      <w:r>
        <w:t>(3) Die Vorstandsmitglieder sind namentlich zum Ersatz verpflichtet, wenn entgegen diesem Gesetz</w:t>
      </w:r>
    </w:p>
    <w:p>
      <w:pPr>
        <w:tabs>
          <w:tab w:pos="567" w:val="left"/>
        </w:tabs>
        <w:ind w:left="567" w:hanging="567"/>
      </w:pPr>
      <w:r>
        <w:t>1.</w:t>
      </w:r>
      <w:r>
        <w:tab/>
      </w:r>
      <w:r>
        <w:t>Einlagen an die Aktionäre zurückgewährt werden,</w:t>
      </w:r>
    </w:p>
    <w:p>
      <w:pPr>
        <w:tabs>
          <w:tab w:pos="567" w:val="left"/>
        </w:tabs>
        <w:ind w:left="567" w:hanging="567"/>
      </w:pPr>
      <w:r>
        <w:t>2.</w:t>
      </w:r>
      <w:r>
        <w:tab/>
      </w:r>
      <w:r>
        <w:t>den Aktionären Zinsen oder Gewinnanteile gezahlt werden,</w:t>
      </w:r>
    </w:p>
    <w:p>
      <w:pPr>
        <w:tabs>
          <w:tab w:pos="567" w:val="left"/>
        </w:tabs>
        <w:ind w:left="567" w:hanging="567"/>
      </w:pPr>
      <w:r>
        <w:t>3.</w:t>
      </w:r>
      <w:r>
        <w:tab/>
      </w:r>
      <w:r>
        <w:t>eigene Aktien der Gesellschaft oder einer anderen Gesellschaft gezeichnet, erworben, als Pfand genommen oder eingezogen werden,</w:t>
      </w:r>
    </w:p>
    <w:p>
      <w:pPr>
        <w:tabs>
          <w:tab w:pos="567" w:val="left"/>
        </w:tabs>
        <w:ind w:left="567" w:hanging="567"/>
      </w:pPr>
      <w:r>
        <w:t>4.</w:t>
      </w:r>
      <w:r>
        <w:tab/>
      </w:r>
      <w:r>
        <w:t>Aktien vor der vollen Leistung des Ausgabebetrags ausgegeben werden,</w:t>
      </w:r>
    </w:p>
    <w:p>
      <w:pPr>
        <w:tabs>
          <w:tab w:pos="567" w:val="left"/>
        </w:tabs>
        <w:ind w:left="567" w:hanging="567"/>
      </w:pPr>
      <w:r>
        <w:t>5.</w:t>
      </w:r>
      <w:r>
        <w:tab/>
      </w:r>
      <w:r>
        <w:t>Gesellschaftsvermögen verteilt wird,</w:t>
      </w:r>
    </w:p>
    <w:p>
      <w:pPr>
        <w:tabs>
          <w:tab w:pos="567" w:val="left"/>
        </w:tabs>
        <w:ind w:left="567" w:hanging="567"/>
      </w:pPr>
      <w:r>
        <w:t>6.</w:t>
      </w:r>
      <w:r>
        <w:tab/>
      </w:r>
      <w:r>
        <w:t>(weggefallen)</w:t>
      </w:r>
    </w:p>
    <w:p>
      <w:pPr>
        <w:tabs>
          <w:tab w:pos="567" w:val="left"/>
        </w:tabs>
        <w:ind w:left="567" w:hanging="567"/>
      </w:pPr>
      <w:r>
        <w:t>7.</w:t>
      </w:r>
      <w:r>
        <w:tab/>
      </w:r>
      <w:r>
        <w:t>Vergütungen an Aufsichtsratsmitglieder gewährt werden,</w:t>
      </w:r>
    </w:p>
    <w:p>
      <w:pPr>
        <w:tabs>
          <w:tab w:pos="567" w:val="left"/>
        </w:tabs>
        <w:ind w:left="567" w:hanging="567"/>
      </w:pPr>
      <w:r>
        <w:t>8.</w:t>
      </w:r>
      <w:r>
        <w:tab/>
      </w:r>
      <w:r>
        <w:t>Kredit gewährt wird,</w:t>
      </w:r>
    </w:p>
    <w:p>
      <w:pPr>
        <w:tabs>
          <w:tab w:pos="567" w:val="left"/>
        </w:tabs>
        <w:ind w:left="567" w:hanging="567"/>
      </w:pPr>
      <w:r>
        <w:t>9.</w:t>
      </w:r>
      <w:r>
        <w:tab/>
      </w:r>
      <w:r>
        <w:t>bei der bedingten Kapitalerhöhung außerhalb des festgesetzten Zwecks oder vor der vollen Leistung des Gegenwerts Bezugsaktien ausgegeben werden.</w:t>
      </w:r>
    </w:p>
    <w:p>
      <w:r>
        <w:t xml:space="preserve">(4) </w:t>
      </w:r>
      <w:r>
        <w:rPr>
          <w:rStyle w:val="Satznummer"/>
        </w:rPr>
        <w:t>1</w:t>
      </w:r>
      <w:r>
        <w:t xml:space="preserve">Der Gesellschaft gegenüber tritt die Ersatzpflicht nicht ein, wenn die Handlung auf einem gesetzmäßigen Beschluß der Hauptversammlung beruht. </w:t>
      </w:r>
      <w:r>
        <w:rPr>
          <w:rStyle w:val="Satznummer"/>
        </w:rPr>
        <w:t>2</w:t>
      </w:r>
      <w:r>
        <w:t xml:space="preserve">Dadurch, daß der Aufsichtsrat die Handlung gebilligt hat, wird die Ersatzpflicht nicht ausgeschlossen. </w:t>
      </w:r>
      <w:r>
        <w:rPr>
          <w:rStyle w:val="Satznummer"/>
        </w:rPr>
        <w:t>3</w:t>
      </w:r>
      <w:r>
        <w:t xml:space="preserve">Die Gesellschaft kann erst drei Jahre nach der Entstehung des Anspruchs und nur dann auf Ersatzansprüche verzichten oder sich über sie vergleichen, wenn die Hauptversammlung zustimmt und nicht eine Minderheit, deren Anteile zusammen den zehnten Teil des Grundkapitals erreichen, zur Niederschrift Widerspruch erhebt. </w:t>
      </w:r>
      <w:r>
        <w:rPr>
          <w:rStyle w:val="Satznummer"/>
        </w:rPr>
        <w:t>4</w:t>
      </w:r>
      <w:r>
        <w:t>Die zeitliche Beschränkung gilt nicht, wenn der Ersatzpflichtige zahlungsunfähig ist und sich zur Abwendung des Insolvenzverfahrens mit seinen Gläubigern vergleicht oder wenn die Ersatzpflicht in einem Insolvenzplan geregelt wird.</w:t>
      </w:r>
    </w:p>
    <w:p>
      <w:r>
        <w:t xml:space="preserve">(5) </w:t>
      </w:r>
      <w:r>
        <w:rPr>
          <w:rStyle w:val="Satznummer"/>
        </w:rPr>
        <w:t>1</w:t>
      </w:r>
      <w:r>
        <w:t xml:space="preserve">Der Ersatzanspruch der Gesellschaft kann auch von den Gläubigern der Gesellschaft geltend gemacht werden, soweit sie von dieser keine Befriedigung erlangen können. </w:t>
      </w:r>
      <w:r>
        <w:rPr>
          <w:rStyle w:val="Satznummer"/>
        </w:rPr>
        <w:t>2</w:t>
      </w:r>
      <w:r>
        <w:t xml:space="preserve">Dies gilt jedoch in anderen Fällen als denen des Absatzes 3 nur dann, wenn die Vorstandsmitglieder die Sorgfalt eines ordentlichen und gewissenhaften Geschäftsleiters gröblich verletzt haben; Absatz 2 Satz 2 gilt sinngemäß. </w:t>
      </w:r>
      <w:r>
        <w:rPr>
          <w:rStyle w:val="Satznummer"/>
        </w:rPr>
        <w:t>3</w:t>
      </w:r>
      <w:r>
        <w:t xml:space="preserve">Den Gläubigern gegenüber wird die Ersatzpflicht weder durch einen Verzicht oder Vergleich der Gesellschaft noch dadurch aufgehoben, daß die Handlung auf einem Beschluß der Hauptversammlung beruht. </w:t>
      </w:r>
      <w:r>
        <w:rPr>
          <w:rStyle w:val="Satznummer"/>
        </w:rPr>
        <w:t>4</w:t>
      </w:r>
      <w:r>
        <w:t>Ist über das Vermögen der Gesellschaft das Insolvenzverfahren eröffnet, so übt während dessen Dauer der Insolvenzverwalter oder der Sachwalter das Recht der Gläubiger gegen die Vorstandsmitglieder aus.</w:t>
      </w:r>
    </w:p>
    <w:p>
      <w:r>
        <w:t>(6) Die Ansprüche aus diesen Vorschriften verjähren bei Gesellschaften, die zum Zeitpunkt der Pflichtverletzung börsennotiert sind, in zehn Jahren, bei anderen Gesellschaften in fünf Jahren.</w:t>
      </w:r>
    </w:p>
    <w:p>
      <w:pPr>
        <w:pStyle w:val="Heading4"/>
      </w:pPr>
      <w:bookmarkStart w:id="116" w:name="b115"/>
      <w:r>
        <w:t>§ 94 Stellvertreter von Vorstandsmitgliedern</w:t>
      </w:r>
      <w:r>
        <w:t xml:space="preserve"> </w:t>
      </w:r>
      <w:r>
        <w:rPr>
          <w:rStyle w:val="Suchmarke"/>
        </w:rPr>
        <w:t>#94#</w:t>
      </w:r>
      <w:bookmarkEnd w:id="116"/>
    </w:p>
    <w:p>
      <w:r>
        <w:t>Die Vorschriften für die Vorstandsmitglieder gelten auch für ihre Stellvertreter.</w:t>
      </w:r>
    </w:p>
    <w:p>
      <w:pPr>
        <w:pStyle w:val="Heading3"/>
      </w:pPr>
      <w:bookmarkStart w:id="117" w:name="b116"/>
      <w:r>
        <w:t>Zweiter Abschnitt Aufsichtsrat</w:t>
      </w:r>
      <w:bookmarkEnd w:id="117"/>
    </w:p>
    <w:p>
      <w:pPr>
        <w:pStyle w:val="Heading4"/>
      </w:pPr>
      <w:bookmarkStart w:id="118" w:name="b117"/>
      <w:r>
        <w:t>§ 95 Zahl der Aufsichtsratsmitglieder</w:t>
      </w:r>
      <w:r>
        <w:t xml:space="preserve"> </w:t>
      </w:r>
      <w:r>
        <w:rPr>
          <w:rStyle w:val="Suchmarke"/>
        </w:rPr>
        <w:t>#95#</w:t>
      </w:r>
      <w:bookmarkEnd w:id="118"/>
    </w:p>
    <w:p>
      <w:r>
        <w:rPr>
          <w:rStyle w:val="Satznummer"/>
        </w:rPr>
        <w:t>1</w:t>
      </w:r>
      <w:r>
        <w:t xml:space="preserve">Der Aufsichtsrat besteht aus drei Mitgliedern. </w:t>
      </w:r>
      <w:r>
        <w:rPr>
          <w:rStyle w:val="Satznummer"/>
        </w:rPr>
        <w:t>2</w:t>
      </w:r>
      <w:r>
        <w:t xml:space="preserve">Die Satzung kann eine bestimmte höhere Zahl festsetzen. </w:t>
      </w:r>
      <w:r>
        <w:rPr>
          <w:rStyle w:val="Satznummer"/>
        </w:rPr>
        <w:t>3</w:t>
      </w:r>
      <w:r>
        <w:t xml:space="preserve">Die Zahl muß durch drei teilbar sein, wenn dies zur Erfüllung mitbestimmungsrechtlicher Vorgaben erforderlich ist. </w:t>
      </w:r>
      <w:r>
        <w:rPr>
          <w:rStyle w:val="Satznummer"/>
        </w:rPr>
        <w:t>4</w:t>
      </w:r>
      <w:r>
        <w:t>Die Höchstzahl der Aufsichtsratsmitglieder beträgt bei Gesellschaften mit einem Grundkapital</w:t>
      </w:r>
    </w:p>
    <w:tbl>
      <w:tblPr>
        <w:tblStyle w:val="TableGrid"/>
        <w:tblW w:type="pct" w:w="5000"/>
        <w:tblLook w:firstColumn="1" w:firstRow="1" w:lastColumn="0" w:lastRow="0" w:noHBand="0" w:noVBand="1" w:val="04A0"/>
        <w:tblCaption w:val="Tabelle 1 zu § 95"/>
      </w:tblPr>
      <w:tblGrid>
        <w:gridCol w:w="4703"/>
        <w:gridCol w:w="4703"/>
      </w:tblGrid>
      <w:tr>
        <w:trPr>
          <w:cantSplit/>
        </w:trPr>
        <w:tc>
          <w:tcPr>
            <w:tcW w:type="dxa" w:w="4703"/>
          </w:tcPr>
          <w:p>
            <w:r>
              <w:t>bis zu</w:t>
            </w:r>
          </w:p>
        </w:tc>
        <w:tc>
          <w:tcPr>
            <w:tcW w:type="dxa" w:w="4703"/>
          </w:tcPr>
          <w:p>
            <w:r>
              <w:t>1 500 000 Euro neun,</w:t>
            </w:r>
          </w:p>
        </w:tc>
      </w:tr>
      <w:tr>
        <w:trPr>
          <w:cantSplit/>
        </w:trPr>
        <w:tc>
          <w:tcPr>
            <w:tcW w:type="dxa" w:w="4703"/>
          </w:tcPr>
          <w:p>
            <w:r>
              <w:t>von mehr als</w:t>
            </w:r>
          </w:p>
        </w:tc>
        <w:tc>
          <w:tcPr>
            <w:tcW w:type="dxa" w:w="4703"/>
          </w:tcPr>
          <w:p>
            <w:r>
              <w:t>1 500 000 Euro fünfzehn,</w:t>
            </w:r>
          </w:p>
        </w:tc>
      </w:tr>
      <w:tr>
        <w:trPr>
          <w:cantSplit/>
        </w:trPr>
        <w:tc>
          <w:tcPr>
            <w:tcW w:type="dxa" w:w="4703"/>
          </w:tcPr>
          <w:p>
            <w:r>
              <w:t>von mehr als</w:t>
            </w:r>
          </w:p>
        </w:tc>
        <w:tc>
          <w:tcPr>
            <w:tcW w:type="dxa" w:w="4703"/>
          </w:tcPr>
          <w:p>
            <w:r>
              <w:t>10 000 000 Euro einundzwanzig.</w:t>
            </w:r>
          </w:p>
        </w:tc>
      </w:tr>
    </w:tbl>
    <w:p>
      <w:pPr>
        <w:spacing w:after="0"/>
      </w:pPr>
    </w:p>
    <w:p>
      <w:r>
        <w:rPr>
          <w:rStyle w:val="Satznummer"/>
        </w:rPr>
        <w:t>5</w:t>
      </w:r>
      <w:r>
        <w:t>Durch die vorstehenden Vorschriften werden hiervon abweichende Vorschriften des Mitbestimmungsgesetzes des Montan-Mitbestimmungsgesetzes und des Mitbestimmungsergänzungsgesetzes nicht berührt.</w:t>
      </w:r>
    </w:p>
    <w:p>
      <w:pPr>
        <w:pStyle w:val="Heading4"/>
      </w:pPr>
      <w:bookmarkStart w:id="119" w:name="b118"/>
      <w:r>
        <w:t>§ 96 Zusammensetzung des Aufsichtsrats</w:t>
      </w:r>
      <w:r>
        <w:t xml:space="preserve"> </w:t>
      </w:r>
      <w:r>
        <w:rPr>
          <w:rStyle w:val="Suchmarke"/>
        </w:rPr>
        <w:t>#96#</w:t>
      </w:r>
      <w:bookmarkEnd w:id="119"/>
    </w:p>
    <w:p>
      <w:r>
        <w:t>(1) Der Aufsichtsrat setzt sich zusammen</w:t>
      </w:r>
      <w:r>
        <w:br/>
      </w:r>
      <w:r>
        <w:t>bei Gesellschaften, für die das Mitbestimmungsgesetz gilt, aus Aufsichtsratsmitgliedern der Aktionäre und der Arbeitnehmer,</w:t>
      </w:r>
      <w:r>
        <w:br/>
      </w:r>
      <w:r>
        <w:t>bei Gesellschaften, für die das Montan-Mitbestimmungsgesetz gilt, aus Aufsichtsratsmitgliedern der Aktionäre und der Arbeitnehmer und aus weiteren Mitgliedern,</w:t>
      </w:r>
      <w:r>
        <w:br/>
      </w:r>
      <w:r>
        <w:t>bei Gesellschaften, für die die §§ 5 bis 13 des Mitbestimmungsergänzungsgesetzes gelten, aus Aufsichtsratsmitgliedern der Aktionäre und der Arbeitnehmer und aus einem weiteren Mitglied,</w:t>
      </w:r>
      <w:r>
        <w:br/>
      </w:r>
      <w:r>
        <w:t>bei Gesellschaften, für die das Drittelbeteiligungsgesetz gilt, aus Aufsichtsratsmitgliedern der Aktionäre und der Arbeitnehmer,</w:t>
      </w:r>
      <w:r>
        <w:br/>
      </w:r>
      <w:r>
        <w:t>bei Gesellschaften, für die das Gesetz über die Mitbestimmung der Arbeitnehmer bei einer grenzüberschreitenden Verschmelzung vom 21. Dezember 2006 (BGBl. I S. 3332) in der jeweils geltenden Fassung gilt, aus Aufsichtsratsmitgliedern der Aktionäre und der Arbeitnehmer,</w:t>
      </w:r>
      <w:r>
        <w:br/>
      </w:r>
      <w:r>
        <w:t>bei Gesellschaften, für die das Gesetz über die Mitbestimmung der Arbeitnehmer bei grenzüberschreitendem Formwechsel und grenzüberschreitender Spaltung vom 4. Januar 2023 (BGBl. 2023 I Nr. 10) in der jeweils geltenden Fassung gilt, aus Aufsichtsratsmitgliedern der Aktionäre und der Arbeitnehmer,</w:t>
      </w:r>
      <w:r>
        <w:br/>
      </w:r>
      <w:r>
        <w:t>bei den übrigen Gesellschaften nur aus Aufsichtsratsmitgliedern der Aktionäre.</w:t>
      </w:r>
    </w:p>
    <w:p>
      <w:r>
        <w:t xml:space="preserve">(2) </w:t>
      </w:r>
      <w:r>
        <w:rPr>
          <w:rStyle w:val="Satznummer"/>
        </w:rPr>
        <w:t>1</w:t>
      </w:r>
      <w:r>
        <w:t xml:space="preserve">Bei börsennotierten Gesellschaften, für die das Mitbestimmungsgesetz, das Montan-Mitbestimmungsgesetz oder das Mitbestimmungsergänzungsgesetz gilt, setzt sich der Aufsichtsrat zu mindestens 30 Prozent aus Frauen und zu mindestens 30 Prozent aus Männern zusammen. </w:t>
      </w:r>
      <w:r>
        <w:rPr>
          <w:rStyle w:val="Satznummer"/>
        </w:rPr>
        <w:t>2</w:t>
      </w:r>
      <w:r>
        <w:t xml:space="preserve">Der Mindestanteil ist vom Aufsichtsrat insgesamt zu erfüllen. </w:t>
      </w:r>
      <w:r>
        <w:rPr>
          <w:rStyle w:val="Satznummer"/>
        </w:rPr>
        <w:t>3</w:t>
      </w:r>
      <w:r>
        <w:t xml:space="preserve">Widerspricht die Seite der Anteilseigner- oder Arbeitnehmervertreter auf Grund eines mit Mehrheit gefassten Beschlusses vor der Wahl der Gesamterfüllung gegenüber dem Aufsichtsratsvorsitzenden, so ist der Mindestanteil für diese Wahl von der Seite der Anteilseigner und der Seite der Arbeitnehmer getrennt zu erfüllen. </w:t>
      </w:r>
      <w:r>
        <w:rPr>
          <w:rStyle w:val="Satznummer"/>
        </w:rPr>
        <w:t>4</w:t>
      </w:r>
      <w:r>
        <w:t xml:space="preserve">Es ist in allen Fällen auf volle Personenzahlen mathematisch auf- beziehungsweise abzurunden. </w:t>
      </w:r>
      <w:r>
        <w:rPr>
          <w:rStyle w:val="Satznummer"/>
        </w:rPr>
        <w:t>5</w:t>
      </w:r>
      <w:r>
        <w:t xml:space="preserve">Verringert sich bei Gesamterfüllung der höhere Frauenanteil einer Seite nachträglich und widerspricht sie nun der Gesamterfüllung, so wird dadurch die Besetzung auf der anderen Seite nicht unwirksam. </w:t>
      </w:r>
      <w:r>
        <w:rPr>
          <w:rStyle w:val="Satznummer"/>
        </w:rPr>
        <w:t>6</w:t>
      </w:r>
      <w:r>
        <w:t xml:space="preserve">Eine Wahl der Mitglieder des Aufsichtsrats durch die Hauptversammlung und eine Entsendung in den Aufsichtsrat unter Verstoß gegen das Mindestanteilsgebot ist nichtig. </w:t>
      </w:r>
      <w:r>
        <w:rPr>
          <w:rStyle w:val="Satznummer"/>
        </w:rPr>
        <w:t>7</w:t>
      </w:r>
      <w:r>
        <w:t xml:space="preserve">Ist eine Wahl aus anderen Gründen für nichtig erklärt, so verstoßen zwischenzeitlich erfolgte Wahlen insoweit nicht gegen das Mindestanteilsgebot. </w:t>
      </w:r>
      <w:r>
        <w:rPr>
          <w:rStyle w:val="Satznummer"/>
        </w:rPr>
        <w:t>8</w:t>
      </w:r>
      <w:r>
        <w:t>Auf die Wahl der Aufsichtsratsmitglieder der Arbeitnehmer sind die in Satz 1 genannten Gesetze zur Mitbestimmung anzuwenden.</w:t>
      </w:r>
    </w:p>
    <w:p>
      <w:r>
        <w:t xml:space="preserve">(3) </w:t>
      </w:r>
      <w:r>
        <w:rPr>
          <w:rStyle w:val="Satznummer"/>
        </w:rPr>
        <w:t>1</w:t>
      </w:r>
      <w:r>
        <w:t xml:space="preserve">Bei börsennotierten Gesellschaften, die aus einer grenzüberschreitenden Verschmelzung, einem grenzüberschreitenden Formwechsel oder einer grenzüberschreitenden Spaltung hervorgegangen sind und bei denen nach dem Gesetz über die Mitbestimmung der Arbeitnehmer bei einer grenzüberschreitenden Verschmelzung oder nach dem Gesetz über die Mitbestimmung der Arbeitnehmer bei grenzüberschreitendem Formwechsel und grenzüberschreitender Spaltung das Aufsichts- oder Verwaltungsorgan aus derselben Zahl von Anteilseigner- und Arbeitnehmervertretern besteht, müssen in dem Aufsichts- oder Verwaltungsorgan Frauen und Männer jeweils mit einem Anteil von mindestens 30 Prozent vertreten sein. </w:t>
      </w:r>
      <w:r>
        <w:rPr>
          <w:rStyle w:val="Satznummer"/>
        </w:rPr>
        <w:t>2</w:t>
      </w:r>
      <w:r>
        <w:t>Absatz 2 Satz 2, 4, 6 und 7 gilt entsprechend.</w:t>
      </w:r>
    </w:p>
    <w:p>
      <w:r>
        <w:t xml:space="preserve">(4) Nach anderen als den zuletzt angewandten gesetzlichen Vorschriften kann der Aufsichtsrat nur zusammengesetzt werden, wenn nach </w:t>
      </w:r>
      <w:hyperlink w:anchor="b119" w:history="1">
        <w:r>
          <w:rPr>
            <w:color w:val="0A3A8C"/>
            <w:u w:val="single"/>
          </w:rPr>
          <w:t xml:space="preserve">§ 97</w:t>
        </w:r>
      </w:hyperlink>
      <w:r>
        <w:t xml:space="preserve"> oder nach </w:t>
      </w:r>
      <w:hyperlink w:anchor="b120" w:history="1">
        <w:r>
          <w:rPr>
            <w:color w:val="0A3A8C"/>
            <w:u w:val="single"/>
          </w:rPr>
          <w:t xml:space="preserve">§ 98</w:t>
        </w:r>
      </w:hyperlink>
      <w:r>
        <w:t xml:space="preserve"> die in der Bekanntmachung des Vorstands oder in der gerichtlichen Entscheidung angegebenen gesetzlichen Vorschriften anzuwenden sind.</w:t>
      </w:r>
    </w:p>
    <w:p>
      <w:pPr>
        <w:pStyle w:val="Heading4"/>
      </w:pPr>
      <w:bookmarkStart w:id="120" w:name="b119"/>
      <w:r>
        <w:t>§ 97 Bekanntmachung über die Zusammensetzung des Aufsichtsrats</w:t>
      </w:r>
      <w:r>
        <w:t xml:space="preserve"> </w:t>
      </w:r>
      <w:r>
        <w:rPr>
          <w:rStyle w:val="Suchmarke"/>
        </w:rPr>
        <w:t>#97#</w:t>
      </w:r>
      <w:bookmarkEnd w:id="120"/>
    </w:p>
    <w:p>
      <w:r>
        <w:t xml:space="preserve">(1) </w:t>
      </w:r>
      <w:r>
        <w:rPr>
          <w:rStyle w:val="Satznummer"/>
        </w:rPr>
        <w:t>1</w:t>
      </w:r>
      <w:r>
        <w:t xml:space="preserve">Ist der Vorstand der Ansicht, daß der Aufsichtsrat nicht nach den für ihn maßgebenden gesetzlichen Vorschriften zusammengesetzt ist, so hat er dies unverzüglich in den Gesellschaftsblättern und gleichzeitig durch Aushang in sämtlichen Betrieben der Gesellschaft und ihrer Konzernunternehmen bekanntzumachen. </w:t>
      </w:r>
      <w:r>
        <w:rPr>
          <w:rStyle w:val="Satznummer"/>
        </w:rPr>
        <w:t>2</w:t>
      </w:r>
      <w:r>
        <w:t xml:space="preserve">In der Bekanntmachung sind die nach Ansicht des Vorstands maßgebenden gesetzlichen Vorschriften anzugeben. </w:t>
      </w:r>
      <w:r>
        <w:rPr>
          <w:rStyle w:val="Satznummer"/>
        </w:rPr>
        <w:t>3</w:t>
      </w:r>
      <w:r>
        <w:t xml:space="preserve">Es ist darauf hinzuweisen, daß der Aufsichtsrat nach diesen Vorschriften zusammengesetzt wird, wenn nicht Antragsberechtigte nach </w:t>
      </w:r>
      <w:hyperlink w:anchor="b120" w:history="1">
        <w:r>
          <w:rPr>
            <w:color w:val="0A3A8C"/>
            <w:u w:val="single"/>
          </w:rPr>
          <w:t xml:space="preserve">§ 98</w:t>
        </w:r>
      </w:hyperlink>
      <w:r>
        <w:t xml:space="preserve"> Abs. 2 innerhalb eines Monats nach der Bekanntmachung im Bundesanzeiger das nach </w:t>
      </w:r>
      <w:hyperlink w:anchor="b120" w:history="1">
        <w:r>
          <w:rPr>
            <w:color w:val="0A3A8C"/>
            <w:u w:val="single"/>
          </w:rPr>
          <w:t xml:space="preserve">§ 98</w:t>
        </w:r>
      </w:hyperlink>
      <w:r>
        <w:t xml:space="preserve"> Abs. 1 zuständige Gericht anrufen.</w:t>
      </w:r>
    </w:p>
    <w:p>
      <w:r>
        <w:t xml:space="preserve">(2) </w:t>
      </w:r>
      <w:r>
        <w:rPr>
          <w:rStyle w:val="Satznummer"/>
        </w:rPr>
        <w:t>1</w:t>
      </w:r>
      <w:r>
        <w:t xml:space="preserve">Wird das nach </w:t>
      </w:r>
      <w:hyperlink w:anchor="b120" w:history="1">
        <w:r>
          <w:rPr>
            <w:color w:val="0A3A8C"/>
            <w:u w:val="single"/>
          </w:rPr>
          <w:t xml:space="preserve">§ 98</w:t>
        </w:r>
      </w:hyperlink>
      <w:r>
        <w:t xml:space="preserve"> Abs. 1 zuständige Gericht nicht innerhalb eines Monats nach der Bekanntmachung im Bundesanzeiger angerufen, so ist der neue Aufsichtsrat nach den in der Bekanntmachung des Vorstands angegebenen gesetzlichen Vorschriften zusammenzusetzen. </w:t>
      </w:r>
      <w:r>
        <w:rPr>
          <w:rStyle w:val="Satznummer"/>
        </w:rPr>
        <w:t>2</w:t>
      </w:r>
      <w:r>
        <w:t xml:space="preserve">Die Bestimmungen der Satzung über die Zusammensetzung des Aufsichtsrats, über die Zahl der Aufsichtsratsmitglieder sowie über die Wahl, Abberufung und Entsendung von Aufsichtsratsmitgliedern treten mit der Beendigung der ersten Hauptversammlung, die nach Ablauf der Anrufungsfrist einberufen wird, spätestens sechs Monate nach Ablauf dieser Frist insoweit außer Kraft, als sie den nunmehr anzuwendenden gesetzlichen Vorschriften widersprechen. </w:t>
      </w:r>
      <w:r>
        <w:rPr>
          <w:rStyle w:val="Satznummer"/>
        </w:rPr>
        <w:t>3</w:t>
      </w:r>
      <w:r>
        <w:t xml:space="preserve">Mit demselben Zeitpunkt erlischt das Amt der bisherigen Aufsichtsratsmitglieder. </w:t>
      </w:r>
      <w:r>
        <w:rPr>
          <w:rStyle w:val="Satznummer"/>
        </w:rPr>
        <w:t>4</w:t>
      </w:r>
      <w:r>
        <w:t>Eine Hauptversammlung, die innerhalb der Frist von sechs Monaten stattfindet, kann an Stelle der außer Kraft tretenden Satzungsbestimmungen mit einfacher Stimmenmehrheit neue Satzungsbestimmungen beschließen.</w:t>
      </w:r>
    </w:p>
    <w:p>
      <w:r>
        <w:t xml:space="preserve">(3) Solange ein gerichtliches Verfahren nach </w:t>
      </w:r>
      <w:hyperlink w:anchor="b120" w:history="1">
        <w:r>
          <w:rPr>
            <w:color w:val="0A3A8C"/>
            <w:u w:val="single"/>
          </w:rPr>
          <w:t xml:space="preserve">§§ 98</w:t>
        </w:r>
      </w:hyperlink>
      <w:r>
        <w:t xml:space="preserve">, </w:t>
      </w:r>
      <w:hyperlink w:anchor="b121" w:history="1">
        <w:r>
          <w:rPr>
            <w:color w:val="0A3A8C"/>
            <w:u w:val="single"/>
          </w:rPr>
          <w:t xml:space="preserve">99</w:t>
        </w:r>
      </w:hyperlink>
      <w:r>
        <w:t xml:space="preserve"> anhängig ist, kann eine Bekanntmachung über die Zusammensetzung des Aufsichtsrats nicht erfolgen.</w:t>
      </w:r>
    </w:p>
    <w:p>
      <w:pPr>
        <w:pStyle w:val="Heading4"/>
      </w:pPr>
      <w:bookmarkStart w:id="121" w:name="b120"/>
      <w:r>
        <w:t>§ 98 Gerichtliche Entscheidung über die Zusammensetzung des Aufsichtsrats</w:t>
      </w:r>
      <w:r>
        <w:t xml:space="preserve"> </w:t>
      </w:r>
      <w:r>
        <w:rPr>
          <w:rStyle w:val="Suchmarke"/>
        </w:rPr>
        <w:t>#98#</w:t>
      </w:r>
      <w:bookmarkEnd w:id="121"/>
    </w:p>
    <w:p>
      <w:r>
        <w:t>(1) Ist streitig oder ungewiss, nach welchen gesetzlichen Vorschriften der Aufsichtsrat zusammenzusetzen ist, so entscheidet darüber auf Antrag ausschließlich das Landgericht, in dessen Bezirk die Gesellschaft ihren Sitz hat.</w:t>
      </w:r>
    </w:p>
    <w:p>
      <w:r>
        <w:t xml:space="preserve">(2) </w:t>
      </w:r>
      <w:r>
        <w:rPr>
          <w:rStyle w:val="Satznummer"/>
        </w:rPr>
        <w:t>1</w:t>
      </w:r>
      <w:r>
        <w:t>Antragsberechtigt sind</w:t>
      </w:r>
    </w:p>
    <w:p>
      <w:pPr>
        <w:tabs>
          <w:tab w:pos="567" w:val="left"/>
        </w:tabs>
        <w:ind w:left="567" w:hanging="567"/>
      </w:pPr>
      <w:r>
        <w:t>1.</w:t>
      </w:r>
      <w:r>
        <w:tab/>
      </w:r>
      <w:r>
        <w:t>der Vorstand,</w:t>
      </w:r>
    </w:p>
    <w:p>
      <w:pPr>
        <w:tabs>
          <w:tab w:pos="567" w:val="left"/>
        </w:tabs>
        <w:ind w:left="567" w:hanging="567"/>
      </w:pPr>
      <w:r>
        <w:t>2.</w:t>
      </w:r>
      <w:r>
        <w:tab/>
      </w:r>
      <w:r>
        <w:t>jedes Aufsichtsratsmitglied,</w:t>
      </w:r>
    </w:p>
    <w:p>
      <w:pPr>
        <w:tabs>
          <w:tab w:pos="567" w:val="left"/>
        </w:tabs>
        <w:ind w:left="567" w:hanging="567"/>
      </w:pPr>
      <w:r>
        <w:t>3.</w:t>
      </w:r>
      <w:r>
        <w:tab/>
      </w:r>
      <w:r>
        <w:t>jeder Aktionär,</w:t>
      </w:r>
    </w:p>
    <w:p>
      <w:pPr>
        <w:tabs>
          <w:tab w:pos="567" w:val="left"/>
        </w:tabs>
        <w:ind w:left="567" w:hanging="567"/>
      </w:pPr>
      <w:r>
        <w:t>4.</w:t>
      </w:r>
      <w:r>
        <w:tab/>
      </w:r>
      <w:r>
        <w:t>der Gesamtbetriebsrat der Gesellschaft oder, wenn in der Gesellschaft nur ein Betriebsrat besteht, der Betriebsrat,</w:t>
      </w:r>
    </w:p>
    <w:p>
      <w:pPr>
        <w:tabs>
          <w:tab w:pos="567" w:val="left"/>
        </w:tabs>
        <w:ind w:left="567" w:hanging="567"/>
      </w:pPr>
      <w:r>
        <w:t>5.</w:t>
      </w:r>
      <w:r>
        <w:tab/>
      </w:r>
      <w:r>
        <w:t>der Gesamt- oder Unternehmenssprecherausschuss der Gesellschaft oder, wenn in der Gesellschaft nur ein Sprecherausschuss besteht, der Sprecherausschuss,</w:t>
      </w:r>
    </w:p>
    <w:p>
      <w:pPr>
        <w:tabs>
          <w:tab w:pos="567" w:val="left"/>
        </w:tabs>
        <w:ind w:left="567" w:hanging="567"/>
      </w:pPr>
      <w:r>
        <w:t>6.</w:t>
      </w:r>
      <w:r>
        <w:tab/>
      </w:r>
      <w:r>
        <w:t>der Gesamtbetriebsrat eines anderen Unternehmens, dessen Arbeitnehmer nach den gesetzlichen Vorschriften, deren Anwendung streitig oder ungewiß ist, selbst oder durch Delegierte an der Wahl von Aufsichtsratsmitgliedern der Gesellschaft teilnehmen, oder, wenn in dem anderen Unternehmen nur ein Betriebsrat besteht, der Betriebsrat,</w:t>
      </w:r>
    </w:p>
    <w:p>
      <w:pPr>
        <w:tabs>
          <w:tab w:pos="567" w:val="left"/>
        </w:tabs>
        <w:ind w:left="567" w:hanging="567"/>
      </w:pPr>
      <w:r>
        <w:t>7.</w:t>
      </w:r>
      <w:r>
        <w:tab/>
      </w:r>
      <w:r>
        <w:t>der Gesamt- oder Unternehmenssprecherausschuss eines anderen Unternehmens, dessen Arbeitnehmer nach den gesetzlichen Vorschriften, deren Anwendung streitig oder ungewiss ist, selbst oder durch Delegierte an der Wahl von Aufsichtsratsmitgliedern der Gesellschaft teilnehmen, oder, wenn in dem anderen Unternehmen nur ein Sprecherausschuss besteht, der Sprecherausschuss,</w:t>
      </w:r>
    </w:p>
    <w:p>
      <w:pPr>
        <w:tabs>
          <w:tab w:pos="567" w:val="left"/>
        </w:tabs>
        <w:ind w:left="567" w:hanging="567"/>
      </w:pPr>
      <w:r>
        <w:t>8.</w:t>
      </w:r>
      <w:r>
        <w:tab/>
      </w:r>
      <w:r>
        <w:t>mindestens ein Zehntel oder einhundert der Arbeitnehmer, die nach den gesetzlichen Vorschriften, deren Anwendung streitig oder ungewiß ist, selbst oder durch Delegierte an der Wahl von Aufsichtsratsmitgliedern der Gesellschaft teilnehmen,</w:t>
      </w:r>
    </w:p>
    <w:p>
      <w:pPr>
        <w:tabs>
          <w:tab w:pos="567" w:val="left"/>
        </w:tabs>
        <w:ind w:left="567" w:hanging="567"/>
      </w:pPr>
      <w:r>
        <w:t>9.</w:t>
      </w:r>
      <w:r>
        <w:tab/>
      </w:r>
      <w:r>
        <w:t>Spitzenorganisationen der Gewerkschaften, die nach den gesetzlichen Vorschriften, deren Anwendung streitig oder ungewiß ist, ein Vorschlagsrecht hätten,</w:t>
      </w:r>
    </w:p>
    <w:p>
      <w:pPr>
        <w:tabs>
          <w:tab w:pos="567" w:val="left"/>
        </w:tabs>
        <w:ind w:left="567" w:hanging="567"/>
      </w:pPr>
      <w:r>
        <w:t>10.</w:t>
      </w:r>
      <w:r>
        <w:tab/>
      </w:r>
      <w:r>
        <w:t>Gewerkschaften, die nach den gesetzlichen Vorschriften, deren Anwendung streitig oder ungewiß ist, ein Vorschlagsrecht hätten.</w:t>
      </w:r>
    </w:p>
    <w:p>
      <w:r>
        <w:rPr>
          <w:rStyle w:val="Satznummer"/>
        </w:rPr>
        <w:t>2</w:t>
      </w:r>
      <w:r>
        <w:t>Ist die Anwendung des Mitbestimmungsgesetzes oder die Anwendung von Vorschriften des Mitbestimmungsgesetzes streitig oder ungewiß, so sind außer den nach Satz 1 Antragsberechtigten auch je ein Zehntel der wahlberechtigten in § 3 Abs. 1 Nr. 1 des Mitbestimmungsgesetzes bezeichneten Arbeitnehmer oder der wahlberechtigten leitenden Angestellten im Sinne des Mitbestimmungsgesetzes antragsberechtigt.</w:t>
      </w:r>
    </w:p>
    <w:p>
      <w:r>
        <w:t>(3) Die Absätze 1 und 2 gelten sinngemäß, wenn streitig ist, ob der Abschlußprüfer das nach § 3 oder § 16 des Mitbestimmungsergänzungsgesetzes maßgebliche Umsatzverhältnis richtig ermittelt hat.</w:t>
      </w:r>
    </w:p>
    <w:p>
      <w:r>
        <w:t xml:space="preserve">(4) </w:t>
      </w:r>
      <w:r>
        <w:rPr>
          <w:rStyle w:val="Satznummer"/>
        </w:rPr>
        <w:t>1</w:t>
      </w:r>
      <w:r>
        <w:t xml:space="preserve">Entspricht die Zusammensetzung des Aufsichtsrats nicht der gerichtlichen Entscheidung, so ist der neue Aufsichtsrat nach den in der Entscheidung angegebenen gesetzlichen Vorschriften zusammenzusetzen. </w:t>
      </w:r>
      <w:r>
        <w:rPr>
          <w:rStyle w:val="Satznummer"/>
        </w:rPr>
        <w:t>2</w:t>
      </w:r>
      <w:hyperlink w:anchor="b119" w:history="1">
        <w:r>
          <w:rPr>
            <w:color w:val="0A3A8C"/>
            <w:u w:val="single"/>
          </w:rPr>
          <w:t xml:space="preserve">§ 97</w:t>
        </w:r>
      </w:hyperlink>
      <w:r>
        <w:t xml:space="preserve"> Abs. 2 gilt sinngemäß mit der Maßgabe, daß die Frist von sechs Monaten mit dem Eintritt der Rechtskraft beginnt.</w:t>
      </w:r>
    </w:p>
    <w:p>
      <w:pPr>
        <w:pStyle w:val="Heading4"/>
      </w:pPr>
      <w:bookmarkStart w:id="122" w:name="b121"/>
      <w:r>
        <w:t>§ 99 Verfahren</w:t>
      </w:r>
      <w:r>
        <w:t xml:space="preserve"> </w:t>
      </w:r>
      <w:r>
        <w:rPr>
          <w:rStyle w:val="Suchmarke"/>
        </w:rPr>
        <w:t>#99#</w:t>
      </w:r>
      <w:bookmarkEnd w:id="122"/>
    </w:p>
    <w:p>
      <w:r>
        <w:t>(1) Auf das Verfahren ist das Gesetz über das Verfahren in Familiensachen und in den Angelegenheiten der freiwilligen Gerichtsbarkeit anzuwenden, soweit in den Absätzen 2 bis 5 nichts anderes bestimmt ist.</w:t>
      </w:r>
    </w:p>
    <w:p>
      <w:r>
        <w:t xml:space="preserve">(2) </w:t>
      </w:r>
      <w:r>
        <w:rPr>
          <w:rStyle w:val="Satznummer"/>
        </w:rPr>
        <w:t>1</w:t>
      </w:r>
      <w:r>
        <w:t xml:space="preserve">Das Landgericht hat den Antrag in den Gesellschaftsblättern bekanntzumachen. </w:t>
      </w:r>
      <w:r>
        <w:rPr>
          <w:rStyle w:val="Satznummer"/>
        </w:rPr>
        <w:t>2</w:t>
      </w:r>
      <w:r>
        <w:t xml:space="preserve">Der Vorstand und jedes Aufsichtsratsmitglied sowie die nach </w:t>
      </w:r>
      <w:hyperlink w:anchor="b120" w:history="1">
        <w:r>
          <w:rPr>
            <w:color w:val="0A3A8C"/>
            <w:u w:val="single"/>
          </w:rPr>
          <w:t xml:space="preserve">§ 98</w:t>
        </w:r>
      </w:hyperlink>
      <w:r>
        <w:t xml:space="preserve"> Abs. 2 antragsberechtigten Betriebsräte, Sprecherausschüsse, Spitzenorganisationen und Gewerkschaften sind zu hören.</w:t>
      </w:r>
    </w:p>
    <w:p>
      <w:r>
        <w:t xml:space="preserve">(3) </w:t>
      </w:r>
      <w:r>
        <w:rPr>
          <w:rStyle w:val="Satznummer"/>
        </w:rPr>
        <w:t>1</w:t>
      </w:r>
      <w:r>
        <w:t xml:space="preserve">Das Landgericht entscheidet durch einen mit Gründen versehenen Beschluss. </w:t>
      </w:r>
      <w:r>
        <w:rPr>
          <w:rStyle w:val="Satznummer"/>
        </w:rPr>
        <w:t>2</w:t>
      </w:r>
      <w:r>
        <w:t xml:space="preserve">Gegen die Entscheidung des Landgerichts findet die Beschwerde statt. </w:t>
      </w:r>
      <w:r>
        <w:rPr>
          <w:rStyle w:val="Satznummer"/>
        </w:rPr>
        <w:t>3</w:t>
      </w:r>
      <w:r>
        <w:t xml:space="preserve">Sie kann nur auf eine Verletzung des Rechts gestützt werden; § 72 Abs. 1 Satz 2 und § 74 Abs. 2 und 3 des Gesetzes über das Verfahren in Familiensachen und in den Angelegenheiten der freiwilligen Gerichtsbarkeit sowie § 547 der Zivilprozessordnung gelten sinngemäß. </w:t>
      </w:r>
      <w:r>
        <w:rPr>
          <w:rStyle w:val="Satznummer"/>
        </w:rPr>
        <w:t>4</w:t>
      </w:r>
      <w:r>
        <w:t xml:space="preserve">Die Beschwerde kann nur durch die Einreichung einer von einem Rechtsanwalt unterzeichneten Beschwerdeschrift eingelegt werden. </w:t>
      </w:r>
      <w:r>
        <w:rPr>
          <w:rStyle w:val="Satznummer"/>
        </w:rPr>
        <w:t>5</w:t>
      </w:r>
      <w:r>
        <w:t xml:space="preserve">Die Landesregierung kann durch Rechtsverordnung die Entscheidung über die Beschwerde für die Bezirke mehrerer Oberlandesgerichte einem der Oberlandesgerichte oder dem Obersten Landesgericht übertragen, wenn dies der Sicherung einer einheitlichen Rechtsprechung dient. </w:t>
      </w:r>
      <w:r>
        <w:rPr>
          <w:rStyle w:val="Satznummer"/>
        </w:rPr>
        <w:t>6</w:t>
      </w:r>
      <w:r>
        <w:t>Die Landesregierung kann die Ermächtigung auf die Landesjustizverwaltung übertragen.</w:t>
      </w:r>
    </w:p>
    <w:p>
      <w:r>
        <w:t xml:space="preserve">(4) </w:t>
      </w:r>
      <w:r>
        <w:rPr>
          <w:rStyle w:val="Satznummer"/>
        </w:rPr>
        <w:t>1</w:t>
      </w:r>
      <w:r>
        <w:t xml:space="preserve">Das Gericht hat seine Entscheidung dem Antragsteller und der Gesellschaft zuzustellen. </w:t>
      </w:r>
      <w:r>
        <w:rPr>
          <w:rStyle w:val="Satznummer"/>
        </w:rPr>
        <w:t>2</w:t>
      </w:r>
      <w:r>
        <w:t xml:space="preserve">Es hat sie ferner ohne Gründe in den Gesellschaftsblättern bekanntzumachen. </w:t>
      </w:r>
      <w:r>
        <w:rPr>
          <w:rStyle w:val="Satznummer"/>
        </w:rPr>
        <w:t>3</w:t>
      </w:r>
      <w:r>
        <w:t xml:space="preserve">Die Beschwerde steht jedem nach § 98 Abs. 2 Antragsberechtigten zu. </w:t>
      </w:r>
      <w:r>
        <w:rPr>
          <w:rStyle w:val="Satznummer"/>
        </w:rPr>
        <w:t>4</w:t>
      </w:r>
      <w:r>
        <w:t>Die Beschwerdefrist beginnt mit der Bekanntmachung der Entscheidung im Bundesanzeiger, für den Antragsteller und die Gesellschaft jedoch nicht vor der Zustellung der Entscheidung.</w:t>
      </w:r>
    </w:p>
    <w:p>
      <w:r>
        <w:t xml:space="preserve">(5) </w:t>
      </w:r>
      <w:r>
        <w:rPr>
          <w:rStyle w:val="Satznummer"/>
        </w:rPr>
        <w:t>1</w:t>
      </w:r>
      <w:r>
        <w:t xml:space="preserve">Die Entscheidung wird erst mit der Rechtskraft wirksam. </w:t>
      </w:r>
      <w:r>
        <w:rPr>
          <w:rStyle w:val="Satznummer"/>
        </w:rPr>
        <w:t>2</w:t>
      </w:r>
      <w:r>
        <w:t xml:space="preserve">Sie wirkt für und gegen alle. </w:t>
      </w:r>
      <w:r>
        <w:rPr>
          <w:rStyle w:val="Satznummer"/>
        </w:rPr>
        <w:t>3</w:t>
      </w:r>
      <w:r>
        <w:t>Der Vorstand hat die rechtskräftige Entscheidung unverzüglich zum Handelsregister einzureichen.</w:t>
      </w:r>
    </w:p>
    <w:p>
      <w:r>
        <w:t xml:space="preserve">(6) </w:t>
      </w:r>
      <w:r>
        <w:rPr>
          <w:rStyle w:val="Satznummer"/>
        </w:rPr>
        <w:t>1</w:t>
      </w:r>
      <w:r>
        <w:t xml:space="preserve">Die Kosten können ganz oder zum Teil dem Antragsteller auferlegt werden, wenn dies der Billigkeit entspricht. </w:t>
      </w:r>
      <w:r>
        <w:rPr>
          <w:rStyle w:val="Satznummer"/>
        </w:rPr>
        <w:t>2</w:t>
      </w:r>
      <w:r>
        <w:t>Kosten der Beteiligten werden nicht erstattet.</w:t>
      </w:r>
    </w:p>
    <w:p>
      <w:pPr>
        <w:pStyle w:val="Heading4"/>
      </w:pPr>
      <w:bookmarkStart w:id="123" w:name="b122"/>
      <w:r>
        <w:t>§ 100 Persönliche Voraussetzungen für Aufsichtsratsmitglieder</w:t>
      </w:r>
      <w:r>
        <w:t xml:space="preserve"> </w:t>
      </w:r>
      <w:r>
        <w:rPr>
          <w:rStyle w:val="Suchmarke"/>
        </w:rPr>
        <w:t>#100#</w:t>
      </w:r>
      <w:bookmarkEnd w:id="123"/>
    </w:p>
    <w:p>
      <w:r>
        <w:t xml:space="preserve">(1) </w:t>
      </w:r>
      <w:r>
        <w:rPr>
          <w:rStyle w:val="Satznummer"/>
        </w:rPr>
        <w:t>1</w:t>
      </w:r>
      <w:r>
        <w:t xml:space="preserve">Mitglied des Aufsichtsrats kann nur eine natürliche, unbeschränkt geschäftsfähige Person sein. </w:t>
      </w:r>
      <w:r>
        <w:rPr>
          <w:rStyle w:val="Satznummer"/>
        </w:rPr>
        <w:t>2</w:t>
      </w:r>
      <w:r>
        <w:t>Ein Betreuter, der bei der Besorgung seiner Vermögensangelegenheiten ganz oder teilweise einem Einwilligungsvorbehalt (§ 1825 des Bürgerlichen Gesetzbuchs) unterliegt, kann nicht Mitglied des Aufsichtsrats sein.</w:t>
      </w:r>
    </w:p>
    <w:p>
      <w:r>
        <w:t xml:space="preserve">(2) </w:t>
      </w:r>
      <w:r>
        <w:rPr>
          <w:rStyle w:val="Satznummer"/>
        </w:rPr>
        <w:t>1</w:t>
      </w:r>
      <w:r>
        <w:t>Mitglied des Aufsichtsrats kann nicht sein, wer</w:t>
      </w:r>
    </w:p>
    <w:p>
      <w:pPr>
        <w:tabs>
          <w:tab w:pos="567" w:val="left"/>
        </w:tabs>
        <w:ind w:left="567" w:hanging="567"/>
      </w:pPr>
      <w:r>
        <w:t>1.</w:t>
      </w:r>
      <w:r>
        <w:tab/>
      </w:r>
      <w:r>
        <w:t>bereits in zehn Handelsgesellschaften, die gesetzlich einen Aufsichtsrat zu bilden haben, Aufsichtsratsmitglied ist,</w:t>
      </w:r>
    </w:p>
    <w:p>
      <w:pPr>
        <w:tabs>
          <w:tab w:pos="567" w:val="left"/>
        </w:tabs>
        <w:ind w:left="567" w:hanging="567"/>
      </w:pPr>
      <w:r>
        <w:t>2.</w:t>
      </w:r>
      <w:r>
        <w:tab/>
      </w:r>
      <w:r>
        <w:t>gesetzlicher Vertreter eines von der Gesellschaft abhängigen Unternehmens ist,</w:t>
      </w:r>
    </w:p>
    <w:p>
      <w:pPr>
        <w:tabs>
          <w:tab w:pos="567" w:val="left"/>
        </w:tabs>
        <w:ind w:left="567" w:hanging="567"/>
      </w:pPr>
      <w:r>
        <w:t>3.</w:t>
      </w:r>
      <w:r>
        <w:tab/>
      </w:r>
      <w:r>
        <w:t>gesetzlicher Vertreter einer anderen Kapitalgesellschaft ist, deren Aufsichtsrat ein Vorstandsmitglied der Gesellschaft angehört, oder</w:t>
      </w:r>
    </w:p>
    <w:p>
      <w:pPr>
        <w:tabs>
          <w:tab w:pos="567" w:val="left"/>
        </w:tabs>
        <w:ind w:left="567" w:hanging="567"/>
      </w:pPr>
      <w:r>
        <w:t>4.</w:t>
      </w:r>
      <w:r>
        <w:tab/>
      </w:r>
      <w:r>
        <w:t>in den letzten zwei Jahren Vorstandsmitglied derselben börsennotierten Gesellschaft war, es sei denn, seine Wahl erfolgt auf Vorschlag von Aktionären, die mehr als 25 Prozent der Stimmrechte an der Gesellschaft halten.</w:t>
      </w:r>
    </w:p>
    <w:p>
      <w:r>
        <w:rPr>
          <w:rStyle w:val="Satznummer"/>
        </w:rPr>
        <w:t>2</w:t>
      </w:r>
      <w:r>
        <w:t xml:space="preserve">Auf die Höchstzahl nach Satz 1 Nr. 1 sind bis zu fünf Aufsichtsratssitze nicht anzurechnen, die ein gesetzlicher Vertreter (beim Einzelkaufmann der Inhaber) des herrschenden Unternehmens eines Konzerns in zum Konzern gehörenden Handelsgesellschaften, die gesetzlich einen Aufsichtsrat zu bilden haben, inne hat. </w:t>
      </w:r>
      <w:r>
        <w:rPr>
          <w:rStyle w:val="Satznummer"/>
        </w:rPr>
        <w:t>3</w:t>
      </w:r>
      <w:r>
        <w:t>Auf die Höchstzahl nach Satz 1 Nr. 1 sind Aufsichtsratsämter im Sinne der Nummer 1 doppelt anzurechnen, für die das Mitglied zum Vorsitzenden gewählt worden ist.</w:t>
      </w:r>
    </w:p>
    <w:p>
      <w:r>
        <w:t>(3) Die anderen persönlichen Voraussetzungen der Aufsichtsratsmitglieder der Arbeitnehmer sowie der weiteren Mitglieder bestimmen sich nach dem Mitbestimmungsgesetz, dem Montan-Mitbestimmungsgesetz, dem Mitbestimmungsergänzungsgesetz, dem Drittelbeteiligungsgesetz, dem Gesetz über die Mitbestimmung der Arbeitnehmer bei einer grenzüberschreitenden Verschmelzung und dem Gesetz über die Mitbestimmung der Arbeitnehmer bei grenzüberschreitendem Formwechsel und grenzüberschreitender Spaltung.</w:t>
      </w:r>
    </w:p>
    <w:p>
      <w:r>
        <w:t>(4) Die Satzung kann persönliche Voraussetzungen nur für Aufsichtsratsmitglieder fordern, die von der Hauptversammlung ohne Bindung an Wahlvorschläge gewählt oder auf Grund der Satzung in den Aufsichtsrat entsandt werden.</w:t>
      </w:r>
    </w:p>
    <w:p>
      <w:r>
        <w:t>(5) Bei Gesellschaften, die Unternehmen von öffentlichem Interesse nach § 316a Satz 2 des Handelsgesetzbuchs sind, muss mindestens ein Mitglied des Aufsichtsrats über Sachverstand auf dem Gebiet Rechnungslegung und mindestens ein weiteres Mitglied des Aufsichtsrats über Sachverstand auf dem Gebiet Abschlussprüfung verfügen; die Mitglieder müssen in ihrer Gesamtheit mit dem Sektor, in dem die Gesellschaft tätig ist, vertraut sein.</w:t>
      </w:r>
    </w:p>
    <w:p>
      <w:pPr>
        <w:pStyle w:val="Heading4"/>
      </w:pPr>
      <w:bookmarkStart w:id="124" w:name="b123"/>
      <w:r>
        <w:t>§ 101 Bestellung der Aufsichtsratsmitglieder</w:t>
      </w:r>
      <w:r>
        <w:t xml:space="preserve"> </w:t>
      </w:r>
      <w:r>
        <w:rPr>
          <w:rStyle w:val="Suchmarke"/>
        </w:rPr>
        <w:t>#101#</w:t>
      </w:r>
      <w:bookmarkEnd w:id="124"/>
    </w:p>
    <w:p>
      <w:r>
        <w:t xml:space="preserve">(1) </w:t>
      </w:r>
      <w:r>
        <w:rPr>
          <w:rStyle w:val="Satznummer"/>
        </w:rPr>
        <w:t>1</w:t>
      </w:r>
      <w:r>
        <w:t xml:space="preserve">Die Mitglieder des Aufsichtsrats werden von der Hauptversammlung gewählt, soweit sie nicht in den Aufsichtsrat zu entsenden oder als Aufsichtsratsmitglieder der Arbeitnehmer nach dem Mitbestimmungsgesetz, dem Mitbestimmungsergänzungsgesetz, dem Drittelbeteiligungsgesetz, dem Gesetz über die Mitbestimmung der Arbeitnehmer bei einer grenzüberschreitenden Verschmelzung oder dem Gesetz über die Mitbestimmung der Arbeitnehmer bei grenzüberschreitendem Formwechsel und grenzüberschreitender Spaltung zu wählen sind. </w:t>
      </w:r>
      <w:r>
        <w:rPr>
          <w:rStyle w:val="Satznummer"/>
        </w:rPr>
        <w:t>2</w:t>
      </w:r>
      <w:r>
        <w:t>An Wahlvorschläge ist die Hauptversammlung nur gemäß §§ 6 und 8 des Montan-Mitbestimmungsgesetzes gebunden.</w:t>
      </w:r>
    </w:p>
    <w:p>
      <w:r>
        <w:t xml:space="preserve">(2) </w:t>
      </w:r>
      <w:r>
        <w:rPr>
          <w:rStyle w:val="Satznummer"/>
        </w:rPr>
        <w:t>1</w:t>
      </w:r>
      <w:r>
        <w:t xml:space="preserve">Ein Recht, Mitglieder in den Aufsichtsrat zu entsenden, kann nur durch die Satzung und nur für bestimmte Aktionäre oder für die jeweiligen Inhaber bestimmter Aktien begründet werden. </w:t>
      </w:r>
      <w:r>
        <w:rPr>
          <w:rStyle w:val="Satznummer"/>
        </w:rPr>
        <w:t>2</w:t>
      </w:r>
      <w:r>
        <w:t xml:space="preserve">Inhabern bestimmter Aktien kann das Entsendungsrecht nur eingeräumt werden, wenn die Aktien auf Namen lauten und ihre Übertragung an die Zustimmung der Gesellschaft gebunden ist. </w:t>
      </w:r>
      <w:r>
        <w:rPr>
          <w:rStyle w:val="Satznummer"/>
        </w:rPr>
        <w:t>3</w:t>
      </w:r>
      <w:r>
        <w:t xml:space="preserve">Die Aktien der Entsendungsberechtigten gelten nicht als eine besondere Gattung. </w:t>
      </w:r>
      <w:r>
        <w:rPr>
          <w:rStyle w:val="Satznummer"/>
        </w:rPr>
        <w:t>4</w:t>
      </w:r>
      <w:r>
        <w:t>Die Entsendungsrechte können insgesamt höchstens für ein Drittel der sich aus dem Gesetz oder der Satzung ergebenden Zahl der Aufsichtsratsmitglieder der Aktionäre eingeräumt werden.</w:t>
      </w:r>
    </w:p>
    <w:p>
      <w:r>
        <w:t xml:space="preserve">(3) </w:t>
      </w:r>
      <w:r>
        <w:rPr>
          <w:rStyle w:val="Satznummer"/>
        </w:rPr>
        <w:t>1</w:t>
      </w:r>
      <w:r>
        <w:t xml:space="preserve">Stellvertreter von Aufsichtsratsmitgliedern können nicht bestellt werden. </w:t>
      </w:r>
      <w:r>
        <w:rPr>
          <w:rStyle w:val="Satznummer"/>
        </w:rPr>
        <w:t>2</w:t>
      </w:r>
      <w:r>
        <w:t xml:space="preserve">Jedoch kann für jedes Aufsichtsratsmitglied mit Ausnahme des weiteren Mitglieds, das nach dem Montan-Mitbestimmungsgesetz oder dem Mitbestimmungsergänzungsgesetz auf Vorschlag der übrigen Aufsichtsratsmitglieder gewählt wird, ein Ersatzmitglied bestellt werden, das Mitglied des Aufsichtsrats wird, wenn das Aufsichtsratsmitglied vor Ablauf seiner Amtszeit wegfällt. </w:t>
      </w:r>
      <w:r>
        <w:rPr>
          <w:rStyle w:val="Satznummer"/>
        </w:rPr>
        <w:t>3</w:t>
      </w:r>
      <w:r>
        <w:t xml:space="preserve">Das Ersatzmitglied kann nur gleichzeitig mit dem Aufsichtsratsmitglied bestellt werden. </w:t>
      </w:r>
      <w:r>
        <w:rPr>
          <w:rStyle w:val="Satznummer"/>
        </w:rPr>
        <w:t>4</w:t>
      </w:r>
      <w:r>
        <w:t>Auf seine Bestellung sowie die Nichtigkeit und Anfechtung seiner Bestellung sind die für das Aufsichtsratsmitglied geltenden Vorschriften anzuwenden.</w:t>
      </w:r>
    </w:p>
    <w:p>
      <w:pPr>
        <w:pStyle w:val="Heading4"/>
      </w:pPr>
      <w:bookmarkStart w:id="125" w:name="b124"/>
      <w:r>
        <w:t>§ 102 Amtszeit der Aufsichtsratsmitglieder</w:t>
      </w:r>
      <w:r>
        <w:t xml:space="preserve"> </w:t>
      </w:r>
      <w:r>
        <w:rPr>
          <w:rStyle w:val="Suchmarke"/>
        </w:rPr>
        <w:t>#102#</w:t>
      </w:r>
      <w:bookmarkEnd w:id="125"/>
    </w:p>
    <w:p>
      <w:r>
        <w:t xml:space="preserve">(1) </w:t>
      </w:r>
      <w:r>
        <w:rPr>
          <w:rStyle w:val="Satznummer"/>
        </w:rPr>
        <w:t>1</w:t>
      </w:r>
      <w:r>
        <w:t xml:space="preserve">Aufsichtsratsmitglieder können nicht für längere Zeit als bis zur Beendigung der Hauptversammlung bestellt werden, die über die Entlastung für das vierte Geschäftsjahr nach dem Beginn der Amtszeit beschließt. </w:t>
      </w:r>
      <w:r>
        <w:rPr>
          <w:rStyle w:val="Satznummer"/>
        </w:rPr>
        <w:t>2</w:t>
      </w:r>
      <w:r>
        <w:t>Das Geschäftsjahr, in dem die Amtszeit beginnt, wird nicht mitgerechnet.</w:t>
      </w:r>
    </w:p>
    <w:p>
      <w:r>
        <w:t>(2) Das Amt des Ersatzmitglieds erlischt spätestens mit Ablauf der Amtszeit des weggefallenen Aufsichtsratsmitglieds.</w:t>
      </w:r>
    </w:p>
    <w:p>
      <w:pPr>
        <w:pStyle w:val="Heading4"/>
      </w:pPr>
      <w:bookmarkStart w:id="126" w:name="b125"/>
      <w:r>
        <w:t>§ 103 Abberufung der Aufsichtsratsmitglieder</w:t>
      </w:r>
      <w:r>
        <w:t xml:space="preserve"> </w:t>
      </w:r>
      <w:r>
        <w:rPr>
          <w:rStyle w:val="Suchmarke"/>
        </w:rPr>
        <w:t>#103#</w:t>
      </w:r>
      <w:bookmarkEnd w:id="126"/>
    </w:p>
    <w:p>
      <w:r>
        <w:t xml:space="preserve">(1) </w:t>
      </w:r>
      <w:r>
        <w:rPr>
          <w:rStyle w:val="Satznummer"/>
        </w:rPr>
        <w:t>1</w:t>
      </w:r>
      <w:r>
        <w:t xml:space="preserve">Aufsichtsratsmitglieder, die von der Hauptversammlung ohne Bindung an einen Wahlvorschlag gewählt worden sind, können von ihr vor Ablauf der Amtszeit abberufen werden. </w:t>
      </w:r>
      <w:r>
        <w:rPr>
          <w:rStyle w:val="Satznummer"/>
        </w:rPr>
        <w:t>2</w:t>
      </w:r>
      <w:r>
        <w:t xml:space="preserve">Der Beschluß bedarf einer Mehrheit, die mindestens drei Viertel der abgegebenen Stimmen umfaßt. </w:t>
      </w:r>
      <w:r>
        <w:rPr>
          <w:rStyle w:val="Satznummer"/>
        </w:rPr>
        <w:t>3</w:t>
      </w:r>
      <w:r>
        <w:t>Die Satzung kann eine andere Mehrheit und weitere Erfordernisse bestimmen.</w:t>
      </w:r>
    </w:p>
    <w:p>
      <w:r>
        <w:t xml:space="preserve">(2) </w:t>
      </w:r>
      <w:r>
        <w:rPr>
          <w:rStyle w:val="Satznummer"/>
        </w:rPr>
        <w:t>1</w:t>
      </w:r>
      <w:r>
        <w:t xml:space="preserve">Ein Aufsichtsratsmitglied, das auf Grund der Satzung in den Aufsichtsrat entsandt ist, kann von dem Entsendungsberechtigten jederzeit abberufen und durch ein anderes ersetzt werden. </w:t>
      </w:r>
      <w:r>
        <w:rPr>
          <w:rStyle w:val="Satznummer"/>
        </w:rPr>
        <w:t>2</w:t>
      </w:r>
      <w:r>
        <w:t>Sind die in der Satzung bestimmten Voraussetzungen des Entsendungsrechts weggefallen, so kann die Hauptversammlung das entsandte Mitglied mit einfacher Stimmenmehrheit abberufen.</w:t>
      </w:r>
    </w:p>
    <w:p>
      <w:r>
        <w:t xml:space="preserve">(3) </w:t>
      </w:r>
      <w:r>
        <w:rPr>
          <w:rStyle w:val="Satznummer"/>
        </w:rPr>
        <w:t>1</w:t>
      </w:r>
      <w:r>
        <w:t xml:space="preserve">Das Gericht hat auf Antrag des Aufsichtsrats ein Aufsichtsratsmitglied abzuberufen, wenn in dessen Person ein wichtiger Grund vorliegt. </w:t>
      </w:r>
      <w:r>
        <w:rPr>
          <w:rStyle w:val="Satznummer"/>
        </w:rPr>
        <w:t>2</w:t>
      </w:r>
      <w:r>
        <w:t xml:space="preserve">Der Aufsichtsrat beschließt über die Antragstellung mit einfacher Mehrheit. </w:t>
      </w:r>
      <w:r>
        <w:rPr>
          <w:rStyle w:val="Satznummer"/>
        </w:rPr>
        <w:t>3</w:t>
      </w:r>
      <w:r>
        <w:t xml:space="preserve">Ist das Aufsichtsratsmitglied auf Grund der Satzung in den Aufsichtsrat entsandt worden, so können auch Aktionäre, deren Anteile zusammen den zehnten Teil des Grundkapitals oder den anteiligen Betrag von einer Million Euro erreichen, den Antrag stellen. </w:t>
      </w:r>
      <w:r>
        <w:rPr>
          <w:rStyle w:val="Satznummer"/>
        </w:rPr>
        <w:t>4</w:t>
      </w:r>
      <w:r>
        <w:t>Gegen die Entscheidung ist die Beschwerde zulässig.</w:t>
      </w:r>
    </w:p>
    <w:p>
      <w:r>
        <w:t>(4) Für die Abberufung der Aufsichtsratsmitglieder, die weder von der Hauptversammlung ohne Bindung an einen Wahlvorschlag gewählt worden sind noch auf Grund der Satzung in den Aufsichtsrat entsandt sind, gelten außer Absatz 3 das Mitbestimmungsgesetz, das Montan-Mitbestimmungsgesetz, das Mitbestimmungsergänzungsgesetz, das Drittelbeteiligungsgesetz, das SE-Beteiligungsgesetz, das Gesetz über die Mitbestimmung der Arbeitnehmer bei einer grenzüberschreitenden Verschmelzung und das Gesetz über die Mitbestimmung der Arbeitnehmer bei grenzüberschreitendem Formwechsel und grenzüberschreitender Spaltung.</w:t>
      </w:r>
    </w:p>
    <w:p>
      <w:r>
        <w:t>(5) Für die Abberufung eines Ersatzmitglieds gelten die Vorschriften über die Abberufung des Aufsichtsratsmitglieds, für das es bestellt ist.</w:t>
      </w:r>
    </w:p>
    <w:p>
      <w:pPr>
        <w:pStyle w:val="Heading4"/>
      </w:pPr>
      <w:bookmarkStart w:id="127" w:name="b126"/>
      <w:r>
        <w:t>§ 104 Bestellung durch das Gericht</w:t>
      </w:r>
      <w:r>
        <w:t xml:space="preserve"> </w:t>
      </w:r>
      <w:r>
        <w:rPr>
          <w:rStyle w:val="Suchmarke"/>
        </w:rPr>
        <w:t>#104#</w:t>
      </w:r>
      <w:bookmarkEnd w:id="127"/>
    </w:p>
    <w:p>
      <w:r>
        <w:t xml:space="preserve">(1) </w:t>
      </w:r>
      <w:r>
        <w:rPr>
          <w:rStyle w:val="Satznummer"/>
        </w:rPr>
        <w:t>1</w:t>
      </w:r>
      <w:r>
        <w:t xml:space="preserve">Gehört dem Aufsichtsrat die zur Beschlußfähigkeit nötige Zahl von Mitgliedern nicht an, so hat ihn das Gericht auf Antrag des Vorstands, eines Aufsichtsratsmitglieds oder eines Aktionärs auf diese Zahl zu ergänzen. </w:t>
      </w:r>
      <w:r>
        <w:rPr>
          <w:rStyle w:val="Satznummer"/>
        </w:rPr>
        <w:t>2</w:t>
      </w:r>
      <w:r>
        <w:t xml:space="preserve">Der Vorstand ist verpflichtet, den Antrag unverzüglich zu stellen, es sei denn, daß die rechtzeitige Ergänzung vor der nächsten Aufsichtsratssitzung zu erwarten ist. </w:t>
      </w:r>
      <w:r>
        <w:rPr>
          <w:rStyle w:val="Satznummer"/>
        </w:rPr>
        <w:t>3</w:t>
      </w:r>
      <w:r>
        <w:t>Hat der Aufsichtsrat auch aus Aufsichtsratsmitgliedern der Arbeitnehmer zu bestehen, so können auch den Antrag stellen</w:t>
      </w:r>
    </w:p>
    <w:p>
      <w:pPr>
        <w:tabs>
          <w:tab w:pos="567" w:val="left"/>
        </w:tabs>
        <w:ind w:left="567" w:hanging="567"/>
      </w:pPr>
      <w:r>
        <w:t>1.</w:t>
      </w:r>
      <w:r>
        <w:tab/>
      </w:r>
      <w:r>
        <w:t>der Gesamtbetriebsrat der Gesellschaft oder, wenn in der Gesellschaft nur ein Betriebsrat besteht, der Betriebsrat, sowie, wenn die Gesellschaft herrschendes Unternehmen eines Konzerns ist, der Konzernbetriebsrat,</w:t>
      </w:r>
    </w:p>
    <w:p>
      <w:pPr>
        <w:tabs>
          <w:tab w:pos="567" w:val="left"/>
        </w:tabs>
        <w:ind w:left="567" w:hanging="567"/>
      </w:pPr>
      <w:r>
        <w:t>2.</w:t>
      </w:r>
      <w:r>
        <w:tab/>
      </w:r>
      <w:r>
        <w:t>der Gesamt- oder Unternehmenssprecherausschuss der Gesellschaft oder, wenn in der Gesellschaft nur ein Sprecherausschuss besteht, der Sprecherausschuss sowie, wenn die Gesellschaft herrschendes Unternehmen eines Konzerns ist, der Konzernsprecherausschuss,</w:t>
      </w:r>
    </w:p>
    <w:p>
      <w:pPr>
        <w:tabs>
          <w:tab w:pos="567" w:val="left"/>
        </w:tabs>
        <w:ind w:left="567" w:hanging="567"/>
      </w:pPr>
      <w:r>
        <w:t>3.</w:t>
      </w:r>
      <w:r>
        <w:tab/>
      </w:r>
      <w:r>
        <w:t>der Gesamtbetriebsrat eines anderen Unternehmens, dessen Arbeitnehmer selbst oder durch Delegierte an der Wahl teilnehmen, oder, wenn in dem anderen Unternehmen nur ein Betriebsrat besteht, der Betriebsrat,</w:t>
      </w:r>
    </w:p>
    <w:p>
      <w:pPr>
        <w:tabs>
          <w:tab w:pos="567" w:val="left"/>
        </w:tabs>
        <w:ind w:left="567" w:hanging="567"/>
      </w:pPr>
      <w:r>
        <w:t>4.</w:t>
      </w:r>
      <w:r>
        <w:tab/>
      </w:r>
      <w:r>
        <w:t>der Gesamt- oder Unternehmenssprecherausschuss eines anderen Unternehmens, dessen Arbeitnehmer selbst oder durch Delegierte an der Wahl teilnehmen, oder, wenn in dem anderen Unternehmen nur ein Sprecherausschuss besteht, der Sprecherausschuss,</w:t>
      </w:r>
    </w:p>
    <w:p>
      <w:pPr>
        <w:tabs>
          <w:tab w:pos="567" w:val="left"/>
        </w:tabs>
        <w:ind w:left="567" w:hanging="567"/>
      </w:pPr>
      <w:r>
        <w:t>5.</w:t>
      </w:r>
      <w:r>
        <w:tab/>
      </w:r>
      <w:r>
        <w:t>mindestens ein Zehntel oder einhundert der Arbeitnehmer, die selbst oder durch Delegierte an der Wahl teilnehmen,</w:t>
      </w:r>
    </w:p>
    <w:p>
      <w:pPr>
        <w:tabs>
          <w:tab w:pos="567" w:val="left"/>
        </w:tabs>
        <w:ind w:left="567" w:hanging="567"/>
      </w:pPr>
      <w:r>
        <w:t>6.</w:t>
      </w:r>
      <w:r>
        <w:tab/>
      </w:r>
      <w:r>
        <w:t>Spitzenorganisationen der Gewerkschaften, die das Recht haben, Aufsichtsratsmitglieder der Arbeitnehmer vorzuschlagen,</w:t>
      </w:r>
    </w:p>
    <w:p>
      <w:pPr>
        <w:tabs>
          <w:tab w:pos="567" w:val="left"/>
        </w:tabs>
        <w:ind w:left="567" w:hanging="567"/>
      </w:pPr>
      <w:r>
        <w:t>7.</w:t>
      </w:r>
      <w:r>
        <w:tab/>
      </w:r>
      <w:r>
        <w:t>Gewerkschaften, die das Recht haben, Aufsichtsratsmitglieder der Arbeitnehmer vorzuschlagen.</w:t>
      </w:r>
    </w:p>
    <w:p>
      <w:r>
        <w:rPr>
          <w:rStyle w:val="Satznummer"/>
        </w:rPr>
        <w:t>4</w:t>
      </w:r>
      <w:r>
        <w:t xml:space="preserve">Hat der Aufsichtsrat nach dem Mitbestimmungsgesetz auch aus Aufsichtsratsmitgliedern der Arbeitnehmer zu bestehen, so sind außer den nach Satz 3 Antragsberechtigten auch je ein Zehntel der wahlberechtigten in § 3 Abs. 1 Nr. 1 des Mitbestimmungsgesetzes bezeichneten Arbeitnehmer oder der wahlberechtigten leitenden Angestellten im Sinne des Mitbestimmungsgesetzes antragsberechtigt. </w:t>
      </w:r>
      <w:r>
        <w:rPr>
          <w:rStyle w:val="Satznummer"/>
        </w:rPr>
        <w:t>5</w:t>
      </w:r>
      <w:r>
        <w:t>Gegen die Entscheidung ist die Beschwerde zulässig.</w:t>
      </w:r>
    </w:p>
    <w:p>
      <w:r>
        <w:t xml:space="preserve">(2) </w:t>
      </w:r>
      <w:r>
        <w:rPr>
          <w:rStyle w:val="Satznummer"/>
        </w:rPr>
        <w:t>1</w:t>
      </w:r>
      <w:r>
        <w:t xml:space="preserve">Gehören dem Aufsichtsrat länger als drei Monate weniger Mitglieder als die durch Gesetz oder Satzung festgesetzte Zahl an, so hat ihn das Gericht auf Antrag auf diese Zahl zu ergänzen. </w:t>
      </w:r>
      <w:r>
        <w:rPr>
          <w:rStyle w:val="Satznummer"/>
        </w:rPr>
        <w:t>2</w:t>
      </w:r>
      <w:r>
        <w:t xml:space="preserve">In dringenden Fällen hat das Gericht auf Antrag den Aufsichtsrat auch vor Ablauf der Frist zu ergänzen. </w:t>
      </w:r>
      <w:r>
        <w:rPr>
          <w:rStyle w:val="Satznummer"/>
        </w:rPr>
        <w:t>3</w:t>
      </w:r>
      <w:r>
        <w:t xml:space="preserve">Das Antragsrecht bestimmt sich nach Absatz 1. </w:t>
      </w:r>
      <w:r>
        <w:rPr>
          <w:rStyle w:val="Satznummer"/>
        </w:rPr>
        <w:t>4</w:t>
      </w:r>
      <w:r>
        <w:t>Gegen die Entscheidung ist die Beschwerde zulässig.</w:t>
      </w:r>
    </w:p>
    <w:p>
      <w:r>
        <w:t>(3) Absatz 2 ist auf einen Aufsichtsrat, in dem die Arbeitnehmer ein Mitbestimmungsrecht nach dem Mitbestimmungsgesetz, dem Montan-Mitbestimmungsgesetz oder dem Mitbestimmungsergänzungsgesetz haben, mit der Maßgabe anzuwenden,</w:t>
      </w:r>
    </w:p>
    <w:p>
      <w:pPr>
        <w:tabs>
          <w:tab w:pos="567" w:val="left"/>
        </w:tabs>
        <w:ind w:left="567" w:hanging="567"/>
      </w:pPr>
      <w:r>
        <w:t>1.</w:t>
      </w:r>
      <w:r>
        <w:tab/>
      </w:r>
      <w:r>
        <w:t>daß das Gericht den Aufsichtsrat hinsichtlich des weiteren Mitglieds, das nach dem Montan-Mitbestimmungsgesetz oder dem Mitbestimmungsergänzungsgesetz auf Vorschlag der übrigen Aufsichtsratsmitglieder gewählt wird, nicht ergänzen kann,</w:t>
      </w:r>
    </w:p>
    <w:p>
      <w:pPr>
        <w:tabs>
          <w:tab w:pos="567" w:val="left"/>
        </w:tabs>
        <w:ind w:left="567" w:hanging="567"/>
      </w:pPr>
      <w:r>
        <w:t>2.</w:t>
      </w:r>
      <w:r>
        <w:tab/>
      </w:r>
      <w:r>
        <w:t>daß es stets ein dringender Fall ist, wenn dem Aufsichtsrat, abgesehen von dem in Nummer 1 genannten weiteren Mitglied, nicht alle Mitglieder angehören, aus denen er nach Gesetz oder Satzung zu bestehen hat.</w:t>
      </w:r>
    </w:p>
    <w:p>
      <w:r>
        <w:t xml:space="preserve">(4) </w:t>
      </w:r>
      <w:r>
        <w:rPr>
          <w:rStyle w:val="Satznummer"/>
        </w:rPr>
        <w:t>1</w:t>
      </w:r>
      <w:r>
        <w:t xml:space="preserve">Hat der Aufsichtsrat auch aus Aufsichtsratsmitgliedern der Arbeitnehmer zu bestehen, so hat das Gericht ihn so zu ergänzen, daß das für seine Zusammensetzung maßgebende zahlenmäßige Verhältnis hergestellt wird. </w:t>
      </w:r>
      <w:r>
        <w:rPr>
          <w:rStyle w:val="Satznummer"/>
        </w:rPr>
        <w:t>2</w:t>
      </w:r>
      <w:r>
        <w:t xml:space="preserve">Wenn der Aufsichtsrat zur Herstellung seiner Beschlußfähigkeit ergänzt wird, gilt dies nur, soweit die zur Beschlußfähigkeit nötige Zahl der Aufsichtsratsmitglieder die Wahrung dieses Verhältnisses möglich macht. </w:t>
      </w:r>
      <w:r>
        <w:rPr>
          <w:rStyle w:val="Satznummer"/>
        </w:rPr>
        <w:t>3</w:t>
      </w:r>
      <w:r>
        <w:t xml:space="preserve">Ist ein Aufsichtsratsmitglied zu ersetzen, das nach Gesetz oder Satzung in persönlicher Hinsicht besonderen Voraussetzungen entsprechen muß, so muß auch das vom Gericht bestellte Aufsichtsratsmitglied diesen Voraussetzungen entsprechen. </w:t>
      </w:r>
      <w:r>
        <w:rPr>
          <w:rStyle w:val="Satznummer"/>
        </w:rPr>
        <w:t>4</w:t>
      </w:r>
      <w:r>
        <w:t>Ist ein Aufsichtsratsmitglied zu ersetzen, bei dessen Wahl eine Spitzenorganisation der Gewerkschaften, eine Gewerkschaft oder die Betriebsräte ein Vorschlagsrecht hätten, so soll das Gericht Vorschläge dieser Stellen berücksichtigen, soweit nicht überwiegende Belange der Gesellschaft oder der Allgemeinheit der Bestellung des Vorgeschlagenen entgegenstehen; das gleiche gilt, wenn das Aufsichtsratsmitglied durch Delegierte zu wählen wäre, für gemeinsame Vorschläge der Betriebsräte der Unternehmen, in denen Delegierte zu wählen sind.</w:t>
      </w:r>
    </w:p>
    <w:p>
      <w:r>
        <w:t xml:space="preserve">(5) Die Ergänzung durch das Gericht ist bei börsennotierten Gesellschaften, für die das Mitbestimmungsgesetz, das Montan-Mitbestimmungsgesetz oder das Mitbestimmungsergänzungsgesetz gilt, nach Maßgabe des </w:t>
      </w:r>
      <w:hyperlink w:anchor="b118" w:history="1">
        <w:r>
          <w:rPr>
            <w:color w:val="0A3A8C"/>
            <w:u w:val="single"/>
          </w:rPr>
          <w:t xml:space="preserve">§ 96</w:t>
        </w:r>
      </w:hyperlink>
      <w:r>
        <w:t xml:space="preserve"> Absatz 2 Satz 1 bis 5 vorzunehmen.</w:t>
      </w:r>
    </w:p>
    <w:p>
      <w:r>
        <w:t>(6) Das Amt des gerichtlich bestellten Aufsichtsratsmitglieds erlischt in jedem Fall, sobald der Mangel behoben ist.</w:t>
      </w:r>
    </w:p>
    <w:p>
      <w:r>
        <w:t xml:space="preserve">(7) </w:t>
      </w:r>
      <w:r>
        <w:rPr>
          <w:rStyle w:val="Satznummer"/>
        </w:rPr>
        <w:t>1</w:t>
      </w:r>
      <w:r>
        <w:t xml:space="preserve">Das gerichtlich bestellte Aufsichtsratsmitglied hat Anspruch auf Ersatz angemessener barer Auslagen und, wenn den Aufsichtsratsmitgliedern der Gesellschaft eine Vergütung gewährt wird, auf Vergütung für seine Tätigkeit. </w:t>
      </w:r>
      <w:r>
        <w:rPr>
          <w:rStyle w:val="Satznummer"/>
        </w:rPr>
        <w:t>2</w:t>
      </w:r>
      <w:r>
        <w:t xml:space="preserve">Auf Antrag des Aufsichtsratsmitglieds setzt das Gericht die Auslagen und die Vergütung fest. </w:t>
      </w:r>
      <w:r>
        <w:rPr>
          <w:rStyle w:val="Satznummer"/>
        </w:rPr>
        <w:t>3</w:t>
      </w:r>
      <w:r>
        <w:t xml:space="preserve">Gegen die Entscheidung ist die Beschwerde zulässig; die Rechtsbeschwerde ist ausgeschlossen. </w:t>
      </w:r>
      <w:r>
        <w:rPr>
          <w:rStyle w:val="Satznummer"/>
        </w:rPr>
        <w:t>4</w:t>
      </w:r>
      <w:r>
        <w:t>Aus der rechtskräftigen Entscheidung findet die Zwangsvollstreckung nach der Zivilprozeßordnung statt.</w:t>
      </w:r>
    </w:p>
    <w:p>
      <w:pPr>
        <w:pStyle w:val="Heading4"/>
      </w:pPr>
      <w:bookmarkStart w:id="128" w:name="b127"/>
      <w:r>
        <w:t>§ 105 Unvereinbarkeit der Zugehörigkeit zum Vorstand und zum Aufsichtsrat</w:t>
      </w:r>
      <w:r>
        <w:t xml:space="preserve"> </w:t>
      </w:r>
      <w:r>
        <w:rPr>
          <w:rStyle w:val="Suchmarke"/>
        </w:rPr>
        <w:t>#105#</w:t>
      </w:r>
      <w:bookmarkEnd w:id="128"/>
    </w:p>
    <w:p>
      <w:r>
        <w:t>(1) Ein Aufsichtsratsmitglied kann nicht zugleich Vorstandsmitglied, dauernd Stellvertreter von Vorstandsmitgliedern, Prokurist oder zum gesamten Geschäftsbetrieb ermächtigter Handlungsbevollmächtigter der Gesellschaft sein.</w:t>
      </w:r>
    </w:p>
    <w:p>
      <w:r>
        <w:t xml:space="preserve">(2) </w:t>
      </w:r>
      <w:r>
        <w:rPr>
          <w:rStyle w:val="Satznummer"/>
        </w:rPr>
        <w:t>1</w:t>
      </w:r>
      <w:r>
        <w:t xml:space="preserve">Nur für einen im voraus begrenzten Zeitraum, höchstens für ein Jahr, kann der Aufsichtsrat einzelne seiner Mitglieder zu Stellvertretern von fehlenden oder verhinderten Vorstandsmitgliedern bestellen. </w:t>
      </w:r>
      <w:r>
        <w:rPr>
          <w:rStyle w:val="Satznummer"/>
        </w:rPr>
        <w:t>2</w:t>
      </w:r>
      <w:r>
        <w:t xml:space="preserve">Eine wiederholte Bestellung oder Verlängerung der Amtszeit ist zulässig, wenn dadurch die Amtszeit insgesamt ein Jahr nicht übersteigt. </w:t>
      </w:r>
      <w:r>
        <w:rPr>
          <w:rStyle w:val="Satznummer"/>
        </w:rPr>
        <w:t>3</w:t>
      </w:r>
      <w:r>
        <w:t xml:space="preserve">Während ihrer Amtszeit als Stellvertreter von Vorstandsmitgliedern können die Aufsichtsratsmitglieder keine Tätigkeit als Aufsichtsratsmitglied ausüben. </w:t>
      </w:r>
      <w:r>
        <w:rPr>
          <w:rStyle w:val="Satznummer"/>
        </w:rPr>
        <w:t>4</w:t>
      </w:r>
      <w:r>
        <w:t xml:space="preserve">Das Wettbewerbsverbot des </w:t>
      </w:r>
      <w:hyperlink w:anchor="b109" w:history="1">
        <w:r>
          <w:rPr>
            <w:color w:val="0A3A8C"/>
            <w:u w:val="single"/>
          </w:rPr>
          <w:t xml:space="preserve">§ 88</w:t>
        </w:r>
      </w:hyperlink>
      <w:r>
        <w:t xml:space="preserve"> gilt für sie nicht.</w:t>
      </w:r>
    </w:p>
    <w:p>
      <w:pPr>
        <w:pStyle w:val="Heading4"/>
      </w:pPr>
      <w:bookmarkStart w:id="129" w:name="b128"/>
      <w:r>
        <w:t>§ 106 Bekanntmachung der Änderungen im Aufsichtsrat</w:t>
      </w:r>
      <w:r>
        <w:t xml:space="preserve"> </w:t>
      </w:r>
      <w:r>
        <w:rPr>
          <w:rStyle w:val="Suchmarke"/>
        </w:rPr>
        <w:t>#106#</w:t>
      </w:r>
      <w:bookmarkEnd w:id="129"/>
    </w:p>
    <w:p>
      <w:r>
        <w:t>Der Vorstand hat bei jeder Änderung in den Personen der Aufsichtsratsmitglieder unverzüglich eine Liste der Mitglieder des Aufsichtsrats, aus welcher Name, Vorname, ausgeübter Beruf und Wohnort der Mitglieder ersichtlich ist, zum Handelsregister einzureichen; das Gericht hat nach § 10 des Handelsgesetzbuchs einen Hinweis darauf bekannt zu machen, dass die Liste zum Handelsregister eingereicht worden ist.</w:t>
      </w:r>
    </w:p>
    <w:p>
      <w:pPr>
        <w:pStyle w:val="Heading4"/>
      </w:pPr>
      <w:bookmarkStart w:id="130" w:name="b129"/>
      <w:r>
        <w:t>§ 107 Innere Ordnung des Aufsichtsrats</w:t>
      </w:r>
      <w:r>
        <w:t xml:space="preserve"> </w:t>
      </w:r>
      <w:r>
        <w:rPr>
          <w:rStyle w:val="Suchmarke"/>
        </w:rPr>
        <w:t>#107#</w:t>
      </w:r>
      <w:bookmarkEnd w:id="130"/>
    </w:p>
    <w:p>
      <w:r>
        <w:t xml:space="preserve">(1) </w:t>
      </w:r>
      <w:r>
        <w:rPr>
          <w:rStyle w:val="Satznummer"/>
        </w:rPr>
        <w:t>1</w:t>
      </w:r>
      <w:r>
        <w:t xml:space="preserve">Der Aufsichtsrat hat nach näherer Bestimmung der Satzung aus seiner Mitte einen Vorsitzenden und mindestens einen Stellvertreter zu wählen. </w:t>
      </w:r>
      <w:r>
        <w:rPr>
          <w:rStyle w:val="Satznummer"/>
        </w:rPr>
        <w:t>2</w:t>
      </w:r>
      <w:r>
        <w:t xml:space="preserve">Der Vorstand hat zum Handelsregister anzumelden, wer gewählt ist. </w:t>
      </w:r>
      <w:r>
        <w:rPr>
          <w:rStyle w:val="Satznummer"/>
        </w:rPr>
        <w:t>3</w:t>
      </w:r>
      <w:r>
        <w:t>Der Stellvertreter hat nur dann die Rechte und Pflichten des Vorsitzenden, wenn dieser verhindert ist.</w:t>
      </w:r>
    </w:p>
    <w:p>
      <w:r>
        <w:t xml:space="preserve">(2) </w:t>
      </w:r>
      <w:r>
        <w:rPr>
          <w:rStyle w:val="Satznummer"/>
        </w:rPr>
        <w:t>1</w:t>
      </w:r>
      <w:r>
        <w:t xml:space="preserve">Über die Sitzungen des Aufsichtsrats ist eine Niederschrift anzufertigen, die der Vorsitzende zu unterzeichnen hat. </w:t>
      </w:r>
      <w:r>
        <w:rPr>
          <w:rStyle w:val="Satznummer"/>
        </w:rPr>
        <w:t>2</w:t>
      </w:r>
      <w:r>
        <w:t xml:space="preserve">In der Niederschrift sind der Ort und der Tag der Sitzung, die Teilnehmer, die Gegenstände der Tagesordnung, der wesentliche Inhalt der Verhandlungen und die Beschlüsse des Aufsichtsrats anzugeben. </w:t>
      </w:r>
      <w:r>
        <w:rPr>
          <w:rStyle w:val="Satznummer"/>
        </w:rPr>
        <w:t>3</w:t>
      </w:r>
      <w:r>
        <w:t xml:space="preserve">Ein Verstoß gegen Satz 1 oder Satz 2 macht einen Beschluß nicht unwirksam. </w:t>
      </w:r>
      <w:r>
        <w:rPr>
          <w:rStyle w:val="Satznummer"/>
        </w:rPr>
        <w:t>4</w:t>
      </w:r>
      <w:r>
        <w:t>Jedem Mitglied des Aufsichtsrats ist auf Verlangen eine Abschrift der Sitzungsniederschrift auszuhändigen.</w:t>
      </w:r>
    </w:p>
    <w:p>
      <w:r>
        <w:t xml:space="preserve">(3) </w:t>
      </w:r>
      <w:r>
        <w:rPr>
          <w:rStyle w:val="Satznummer"/>
        </w:rPr>
        <w:t>1</w:t>
      </w:r>
      <w:r>
        <w:t xml:space="preserve">Der Aufsichtsrat kann aus seiner Mitte einen oder mehrere Ausschüsse bestellen, namentlich, um seine Verhandlungen und Beschlüsse vorzubereiten oder die Ausführung seiner Beschlüsse zu überwachen. </w:t>
      </w:r>
      <w:r>
        <w:rPr>
          <w:rStyle w:val="Satznummer"/>
        </w:rPr>
        <w:t>2</w:t>
      </w:r>
      <w:r>
        <w:t xml:space="preserve">Er kann insbesondere einen Prüfungsausschuss bestellen, der sich mit der Überwachung des Rechnungslegungsprozesses, der Wirksamkeit des internen Kontrollsystems, des Risikomanagementsystems und des internen Revisionssystems sowie der Abschlussprüfung, hier insbesondere der Auswahl und der Unabhängigkeit des Abschlussprüfers, der Qualität der Abschlussprüfung und der vom Abschlussprüfer zusätzlich erbrachten Leistungen, befasst. </w:t>
      </w:r>
      <w:r>
        <w:rPr>
          <w:rStyle w:val="Satznummer"/>
        </w:rPr>
        <w:t>3</w:t>
      </w:r>
      <w:r>
        <w:t xml:space="preserve">Der Prüfungsausschuss kann Empfehlungen oder Vorschläge zur Gewährleistung der Integrität des Rechnungslegungsprozesses unterbreiten. </w:t>
      </w:r>
      <w:r>
        <w:rPr>
          <w:rStyle w:val="Satznummer"/>
        </w:rPr>
        <w:t>4</w:t>
      </w:r>
      <w:r>
        <w:t xml:space="preserve">Der Aufsichtsrat der börsennotierten Gesellschaft kann außerdem einen Ausschuss bestellen, der über die Zustimmung nach </w:t>
      </w:r>
      <w:hyperlink w:anchor="b135" w:history="1">
        <w:r>
          <w:rPr>
            <w:color w:val="0A3A8C"/>
            <w:u w:val="single"/>
          </w:rPr>
          <w:t xml:space="preserve">§ 111b</w:t>
        </w:r>
      </w:hyperlink>
      <w:r>
        <w:t xml:space="preserve"> Absatz 1 beschließt. </w:t>
      </w:r>
      <w:r>
        <w:rPr>
          <w:rStyle w:val="Satznummer"/>
        </w:rPr>
        <w:t>5</w:t>
      </w:r>
      <w:r>
        <w:t xml:space="preserve">An dem Geschäft beteiligte nahestehende Personen im Sinne des </w:t>
      </w:r>
      <w:hyperlink w:anchor="b134" w:history="1">
        <w:r>
          <w:rPr>
            <w:color w:val="0A3A8C"/>
            <w:u w:val="single"/>
          </w:rPr>
          <w:t xml:space="preserve">§ 111a</w:t>
        </w:r>
      </w:hyperlink>
      <w:r>
        <w:t xml:space="preserve"> Absatz 1 Satz 2 können nicht Mitglieder des Ausschusses sein. </w:t>
      </w:r>
      <w:r>
        <w:rPr>
          <w:rStyle w:val="Satznummer"/>
        </w:rPr>
        <w:t>6</w:t>
      </w:r>
      <w:r>
        <w:t xml:space="preserve">Er muss mehrheitlich aus Mitgliedern zusammengesetzt sein, bei denen keine Besorgnis eines Interessenkonfliktes auf Grund ihrer Beziehungen zu einer nahestehenden Person besteht. </w:t>
      </w:r>
      <w:r>
        <w:rPr>
          <w:rStyle w:val="Satznummer"/>
        </w:rPr>
        <w:t>7</w:t>
      </w:r>
      <w:r>
        <w:t xml:space="preserve">Die Aufgaben nach Absatz 1 Satz 1, </w:t>
      </w:r>
      <w:hyperlink w:anchor="b66" w:history="1">
        <w:r>
          <w:rPr>
            <w:color w:val="0A3A8C"/>
            <w:u w:val="single"/>
          </w:rPr>
          <w:t xml:space="preserve">§ 59</w:t>
        </w:r>
      </w:hyperlink>
      <w:r>
        <w:t xml:space="preserve"> Abs. 3, </w:t>
      </w:r>
      <w:hyperlink w:anchor="b97" w:history="1">
        <w:r>
          <w:rPr>
            <w:color w:val="0A3A8C"/>
            <w:u w:val="single"/>
          </w:rPr>
          <w:t xml:space="preserve">§ 77</w:t>
        </w:r>
      </w:hyperlink>
      <w:r>
        <w:t xml:space="preserve"> Abs. 2 Satz 1, </w:t>
      </w:r>
      <w:hyperlink w:anchor="b104" w:history="1">
        <w:r>
          <w:rPr>
            <w:color w:val="0A3A8C"/>
            <w:u w:val="single"/>
          </w:rPr>
          <w:t xml:space="preserve">§ 84</w:t>
        </w:r>
      </w:hyperlink>
      <w:r>
        <w:t xml:space="preserve"> Abs. 1 Satz 1 und 3, Absatz 2, 3 Satz 2 und 3 sowie Absatz 4 Satz 1, </w:t>
      </w:r>
      <w:hyperlink w:anchor="b107" w:history="1">
        <w:r>
          <w:rPr>
            <w:color w:val="0A3A8C"/>
            <w:u w:val="single"/>
          </w:rPr>
          <w:t xml:space="preserve">§ 87</w:t>
        </w:r>
      </w:hyperlink>
      <w:r>
        <w:t xml:space="preserve"> Abs. 1 und Abs. 2 Satz 1 und 2, </w:t>
      </w:r>
      <w:hyperlink w:anchor="b133" w:history="1">
        <w:r>
          <w:rPr>
            <w:color w:val="0A3A8C"/>
            <w:u w:val="single"/>
          </w:rPr>
          <w:t xml:space="preserve">§ 111</w:t>
        </w:r>
      </w:hyperlink>
      <w:r>
        <w:t xml:space="preserve"> Abs. 3, </w:t>
      </w:r>
      <w:hyperlink w:anchor="b211" w:history="1">
        <w:r>
          <w:rPr>
            <w:color w:val="0A3A8C"/>
            <w:u w:val="single"/>
          </w:rPr>
          <w:t xml:space="preserve">§§ 171</w:t>
        </w:r>
      </w:hyperlink>
      <w:r>
        <w:t xml:space="preserve">, </w:t>
      </w:r>
      <w:hyperlink w:anchor="b407" w:history="1">
        <w:r>
          <w:rPr>
            <w:color w:val="0A3A8C"/>
            <w:u w:val="single"/>
          </w:rPr>
          <w:t xml:space="preserve">314</w:t>
        </w:r>
      </w:hyperlink>
      <w:r>
        <w:t xml:space="preserve"> Abs. 2 und 3 sowie Beschlüsse, daß bestimmte Arten von Geschäften nur mit Zustimmung des Aufsichtsrats vorgenommen werden dürfen, können einem Ausschuß nicht an Stelle des Aufsichtsrats zur Beschlußfassung überwiesen werden. </w:t>
      </w:r>
      <w:r>
        <w:rPr>
          <w:rStyle w:val="Satznummer"/>
        </w:rPr>
        <w:t>8</w:t>
      </w:r>
      <w:r>
        <w:t>Dem Aufsichtsrat ist regelmäßig über die Arbeit der Ausschüsse zu berichten.</w:t>
      </w:r>
    </w:p>
    <w:p>
      <w:r>
        <w:t xml:space="preserve">(4) </w:t>
      </w:r>
      <w:r>
        <w:rPr>
          <w:rStyle w:val="Satznummer"/>
        </w:rPr>
        <w:t>1</w:t>
      </w:r>
      <w:r>
        <w:t xml:space="preserve">Der Aufsichtsrat einer Gesellschaft, die Unternehmen von öffentlichem Interesse nach § 316a Satz 2 des Handelsgesetzbuchs ist, hat einen Prüfungsausschuss im Sinne des Absatzes 3 Satz 2 einzurichten. </w:t>
      </w:r>
      <w:r>
        <w:rPr>
          <w:rStyle w:val="Satznummer"/>
        </w:rPr>
        <w:t>2</w:t>
      </w:r>
      <w:r>
        <w:t xml:space="preserve">Besteht der Aufsichtsrat nur aus drei Mitgliedern, ist dieser auch der Prüfungsausschuss. </w:t>
      </w:r>
      <w:r>
        <w:rPr>
          <w:rStyle w:val="Satznummer"/>
        </w:rPr>
        <w:t>3</w:t>
      </w:r>
      <w:r>
        <w:t xml:space="preserve">Der Prüfungsausschuss muss die Voraussetzungen des </w:t>
      </w:r>
      <w:hyperlink w:anchor="b122" w:history="1">
        <w:r>
          <w:rPr>
            <w:color w:val="0A3A8C"/>
            <w:u w:val="single"/>
          </w:rPr>
          <w:t xml:space="preserve">§ 100</w:t>
        </w:r>
      </w:hyperlink>
      <w:r>
        <w:t xml:space="preserve"> Absatz 5 erfüllen. </w:t>
      </w:r>
      <w:r>
        <w:rPr>
          <w:rStyle w:val="Satznummer"/>
        </w:rPr>
        <w:t>4</w:t>
      </w:r>
      <w:r>
        <w:t xml:space="preserve">Jedes Mitglied des Prüfungsausschusses kann über den Ausschussvorsitzenden unmittelbar bei den Leitern derjenigen Zentralbereiche der Gesellschaft, die in der Gesellschaft für die Aufgaben zuständig sind, die den Prüfungsausschuss nach Absatz 3 Satz 2 betreffen, Auskünfte einholen. </w:t>
      </w:r>
      <w:r>
        <w:rPr>
          <w:rStyle w:val="Satznummer"/>
        </w:rPr>
        <w:t>5</w:t>
      </w:r>
      <w:r>
        <w:t xml:space="preserve">Der Ausschussvorsitzende hat die eingeholte Auskunft allen Mitgliedern des Prüfungsausschusses mitzuteilen. </w:t>
      </w:r>
      <w:r>
        <w:rPr>
          <w:rStyle w:val="Satznummer"/>
        </w:rPr>
        <w:t>6</w:t>
      </w:r>
      <w:r>
        <w:t>Werden Auskünfte nach Satz 4 eingeholt, ist der Vorstand hierüber unverzüglich zu unterrichten.</w:t>
      </w:r>
    </w:p>
    <w:p>
      <w:pPr>
        <w:pStyle w:val="Heading4"/>
      </w:pPr>
      <w:bookmarkStart w:id="131" w:name="b130"/>
      <w:r>
        <w:t>§ 108 Beschlußfassung des Aufsichtsrats</w:t>
      </w:r>
      <w:r>
        <w:t xml:space="preserve"> </w:t>
      </w:r>
      <w:r>
        <w:rPr>
          <w:rStyle w:val="Suchmarke"/>
        </w:rPr>
        <w:t>#108#</w:t>
      </w:r>
      <w:bookmarkEnd w:id="131"/>
    </w:p>
    <w:p>
      <w:r>
        <w:t>(1) Der Aufsichtsrat entscheidet durch Beschluß.</w:t>
      </w:r>
    </w:p>
    <w:p>
      <w:r>
        <w:t xml:space="preserve">(2) </w:t>
      </w:r>
      <w:r>
        <w:rPr>
          <w:rStyle w:val="Satznummer"/>
        </w:rPr>
        <w:t>1</w:t>
      </w:r>
      <w:r>
        <w:t xml:space="preserve">Die Beschlußfähigkeit des Aufsichtsrats kann, soweit sie nicht gesetzlich geregelt ist, durch die Satzung bestimmt werden. </w:t>
      </w:r>
      <w:r>
        <w:rPr>
          <w:rStyle w:val="Satznummer"/>
        </w:rPr>
        <w:t>2</w:t>
      </w:r>
      <w:r>
        <w:t xml:space="preserve">Ist sie weder gesetzlich noch durch die Satzung geregelt, so ist der Aufsichtsrat nur beschlußfähig, wenn mindestens die Hälfte der Mitglieder, aus denen er nach Gesetz oder Satzung insgesamt zu bestehen hat, an der Beschlußfassung teilnimmt. </w:t>
      </w:r>
      <w:r>
        <w:rPr>
          <w:rStyle w:val="Satznummer"/>
        </w:rPr>
        <w:t>3</w:t>
      </w:r>
      <w:r>
        <w:t xml:space="preserve">In jedem Fall müssen mindestens drei Mitglieder an der Beschlußfassung teilnehmen. </w:t>
      </w:r>
      <w:r>
        <w:rPr>
          <w:rStyle w:val="Satznummer"/>
        </w:rPr>
        <w:t>4</w:t>
      </w:r>
      <w:r>
        <w:t>Der Beschlußfähigkeit steht nicht entgegen, daß dem Aufsichtsrat weniger Mitglieder als die durch Gesetz oder Satzung festgesetzte Zahl angehören, auch wenn das für seine Zusammensetzung maßgebende zahlenmäßige Verhältnis nicht gewahrt ist.</w:t>
      </w:r>
    </w:p>
    <w:p>
      <w:r>
        <w:t xml:space="preserve">(3) </w:t>
      </w:r>
      <w:r>
        <w:rPr>
          <w:rStyle w:val="Satznummer"/>
        </w:rPr>
        <w:t>1</w:t>
      </w:r>
      <w:r>
        <w:t xml:space="preserve">Abwesende Aufsichtsratsmitglieder können dadurch an der Beschlußfassung des Aufsichtsrats und seiner Ausschüsse teilnehmen, daß sie schriftliche Stimmabgaben überreichen lassen. </w:t>
      </w:r>
      <w:r>
        <w:rPr>
          <w:rStyle w:val="Satznummer"/>
        </w:rPr>
        <w:t>2</w:t>
      </w:r>
      <w:r>
        <w:t xml:space="preserve">Die schriftlichen Stimmabgaben können durch andere Aufsichtsratsmitglieder überreicht werden. </w:t>
      </w:r>
      <w:r>
        <w:rPr>
          <w:rStyle w:val="Satznummer"/>
        </w:rPr>
        <w:t>3</w:t>
      </w:r>
      <w:r>
        <w:t>Sie können auch durch Personen, die nicht dem Aufsichtsrat angehören, übergeben werden, wenn diese nach § 109 Abs. 3 zur Teilnahme an der Sitzung berechtigt sind.</w:t>
      </w:r>
    </w:p>
    <w:p>
      <w:r>
        <w:t>(4) Schriftliche, fernmündliche oder andere vergleichbare Formen der Beschlussfassung des Aufsichtsrats und seiner Ausschüsse sind vorbehaltlich einer näheren Regelung durch die Satzung oder eine Geschäftsordnung des Aufsichtsrats nur zulässig, wenn kein Mitglied diesem Verfahren widerspricht.</w:t>
      </w:r>
    </w:p>
    <w:p>
      <w:pPr>
        <w:pStyle w:val="Heading4"/>
      </w:pPr>
      <w:bookmarkStart w:id="132" w:name="b131"/>
      <w:r>
        <w:t>§ 109 Teilnahme an Sitzungen des Aufsichtsrats und seiner Ausschüsse</w:t>
      </w:r>
      <w:r>
        <w:t xml:space="preserve"> </w:t>
      </w:r>
      <w:r>
        <w:rPr>
          <w:rStyle w:val="Suchmarke"/>
        </w:rPr>
        <w:t>#109#</w:t>
      </w:r>
      <w:bookmarkEnd w:id="132"/>
    </w:p>
    <w:p>
      <w:r>
        <w:t xml:space="preserve">(1) </w:t>
      </w:r>
      <w:r>
        <w:rPr>
          <w:rStyle w:val="Satznummer"/>
        </w:rPr>
        <w:t>1</w:t>
      </w:r>
      <w:r>
        <w:t xml:space="preserve">An den Sitzungen des Aufsichtsrats und seiner Ausschüsse sollen Personen, die weder dem Aufsichtsrat noch dem Vorstand angehören, nicht teilnehmen. </w:t>
      </w:r>
      <w:r>
        <w:rPr>
          <w:rStyle w:val="Satznummer"/>
        </w:rPr>
        <w:t>2</w:t>
      </w:r>
      <w:r>
        <w:t xml:space="preserve">Sachverständige und Auskunftspersonen können zur Beratung über einzelne Gegenstände zugezogen werden. </w:t>
      </w:r>
      <w:r>
        <w:rPr>
          <w:rStyle w:val="Satznummer"/>
        </w:rPr>
        <w:t>3</w:t>
      </w:r>
      <w:r>
        <w:t>Wird der Abschlussprüfer als Sachverständiger zugezogen, nimmt der Vorstand an dieser Sitzung nicht teil, es sei denn, der Aufsichtsrat oder der Ausschuss erachtet seine Teilnahme für erforderlich.</w:t>
      </w:r>
    </w:p>
    <w:p>
      <w:r>
        <w:t>(2) Aufsichtsratsmitglieder, die dem Ausschuß nicht angehören, können an den Ausschußsitzungen teilnehmen, wenn der Vorsitzende des Aufsichtsrats nichts anderes bestimmt.</w:t>
      </w:r>
    </w:p>
    <w:p>
      <w:r>
        <w:t>(3) Die Satzung kann zulassen, daß an den Sitzungen des Aufsichtsrats und seiner Ausschüsse Personen, die dem Aufsichtsrat nicht angehören, an Stelle von verhinderten Aufsichtsratsmitgliedern teilnehmen können, wenn diese sie hierzu in Textform ermächtigt haben.</w:t>
      </w:r>
    </w:p>
    <w:p>
      <w:r>
        <w:t>(4) Abweichende gesetzliche Vorschriften bleiben unberührt.</w:t>
      </w:r>
    </w:p>
    <w:p>
      <w:pPr>
        <w:pStyle w:val="Heading4"/>
      </w:pPr>
      <w:bookmarkStart w:id="133" w:name="b132"/>
      <w:r>
        <w:t>§ 110 Einberufung des Aufsichtsrats</w:t>
      </w:r>
      <w:r>
        <w:t xml:space="preserve"> </w:t>
      </w:r>
      <w:r>
        <w:rPr>
          <w:rStyle w:val="Suchmarke"/>
        </w:rPr>
        <w:t>#110#</w:t>
      </w:r>
      <w:bookmarkEnd w:id="133"/>
    </w:p>
    <w:p>
      <w:r>
        <w:t xml:space="preserve">(1) </w:t>
      </w:r>
      <w:r>
        <w:rPr>
          <w:rStyle w:val="Satznummer"/>
        </w:rPr>
        <w:t>1</w:t>
      </w:r>
      <w:r>
        <w:t xml:space="preserve">Jedes Aufsichtsratsmitglied oder der Vorstand kann unter Angabe des Zwecks und der Gründe verlangen, daß der Vorsitzende des Aufsichtsrats unverzüglich den Aufsichtsrat einberuft. </w:t>
      </w:r>
      <w:r>
        <w:rPr>
          <w:rStyle w:val="Satznummer"/>
        </w:rPr>
        <w:t>2</w:t>
      </w:r>
      <w:r>
        <w:t>Die Sitzung muß binnen zwei Wochen nach der Einberufung stattfinden.</w:t>
      </w:r>
    </w:p>
    <w:p>
      <w:r>
        <w:t>(2) Wird dem Verlangen nicht entsprochen, so kann das Aufsichtsratsmitglied oder der Vorstand unter Mitteilung des Sachverhalts und der Angabe einer Tagesordnung selbst den Aufsichtsrat einberufen.</w:t>
      </w:r>
    </w:p>
    <w:p>
      <w:r>
        <w:t xml:space="preserve">(3) </w:t>
      </w:r>
      <w:r>
        <w:rPr>
          <w:rStyle w:val="Satznummer"/>
        </w:rPr>
        <w:t>1</w:t>
      </w:r>
      <w:r>
        <w:t xml:space="preserve">Der Aufsichtsrat muss zwei Sitzungen im Kalenderhalbjahr abhalten. </w:t>
      </w:r>
      <w:r>
        <w:rPr>
          <w:rStyle w:val="Satznummer"/>
        </w:rPr>
        <w:t>2</w:t>
      </w:r>
      <w:r>
        <w:t>In nichtbörsennotierten Gesellschaften kann der Aufsichtsrat beschließen, dass eine Sitzung im Kalenderhalbjahr abzuhalten ist.</w:t>
      </w:r>
    </w:p>
    <w:p>
      <w:pPr>
        <w:pStyle w:val="Heading4"/>
      </w:pPr>
      <w:bookmarkStart w:id="134" w:name="b133"/>
      <w:r>
        <w:t>§ 111 Aufgaben und Rechte des Aufsichtsrats</w:t>
      </w:r>
      <w:r>
        <w:t xml:space="preserve"> </w:t>
      </w:r>
      <w:r>
        <w:rPr>
          <w:rStyle w:val="Suchmarke"/>
        </w:rPr>
        <w:t>#111#</w:t>
      </w:r>
      <w:bookmarkEnd w:id="134"/>
    </w:p>
    <w:p>
      <w:r>
        <w:t>(1) Der Aufsichtsrat hat die Geschäftsführung zu überwachen.</w:t>
      </w:r>
    </w:p>
    <w:p>
      <w:r>
        <w:t xml:space="preserve">(2) </w:t>
      </w:r>
      <w:r>
        <w:rPr>
          <w:rStyle w:val="Satznummer"/>
        </w:rPr>
        <w:t>1</w:t>
      </w:r>
      <w:r>
        <w:t xml:space="preserve">Der Aufsichtsrat kann die Bücher und Schriften der Gesellschaft sowie die Vermögensgegenstände, namentlich die Gesellschaftskasse und die Bestände an Wertpapieren und Waren, einsehen und prüfen. </w:t>
      </w:r>
      <w:r>
        <w:rPr>
          <w:rStyle w:val="Satznummer"/>
        </w:rPr>
        <w:t>2</w:t>
      </w:r>
      <w:r>
        <w:t xml:space="preserve">Er kann damit auch einzelne Mitglieder oder für bestimmte Aufgaben besondere Sachverständige beauftragen. </w:t>
      </w:r>
      <w:r>
        <w:rPr>
          <w:rStyle w:val="Satznummer"/>
        </w:rPr>
        <w:t>3</w:t>
      </w:r>
      <w:r>
        <w:t xml:space="preserve">Er erteilt dem Abschlußprüfer den Prüfungsauftrag für den Jahres- und den Konzernabschluß gemäß § 290 des Handelsgesetzbuchs. </w:t>
      </w:r>
      <w:r>
        <w:rPr>
          <w:rStyle w:val="Satznummer"/>
        </w:rPr>
        <w:t>4</w:t>
      </w:r>
      <w:r>
        <w:t>Er kann darüber hinaus eine externe inhaltliche Überprüfung der nichtfinanziellen Erklärung oder des gesonderten nichtfinanziellen Berichts (§ 289b des Handelsgesetzbuchs), der nichtfinanziellen Konzernerklärung oder des gesonderten nichtfinanziellen Konzernberichts (§ 315b des Handelsgesetzbuchs) beauftragen.</w:t>
      </w:r>
    </w:p>
    <w:p>
      <w:r>
        <w:t xml:space="preserve">(3) </w:t>
      </w:r>
      <w:r>
        <w:rPr>
          <w:rStyle w:val="Satznummer"/>
        </w:rPr>
        <w:t>1</w:t>
      </w:r>
      <w:r>
        <w:t xml:space="preserve">Der Aufsichtsrat hat eine Hauptversammlung einzuberufen, wenn das Wohl der Gesellschaft es fordert. </w:t>
      </w:r>
      <w:r>
        <w:rPr>
          <w:rStyle w:val="Satznummer"/>
        </w:rPr>
        <w:t>2</w:t>
      </w:r>
      <w:r>
        <w:t>Für den Beschluß genügt die einfache Mehrheit.</w:t>
      </w:r>
    </w:p>
    <w:p>
      <w:r>
        <w:t xml:space="preserve">(4) </w:t>
      </w:r>
      <w:r>
        <w:rPr>
          <w:rStyle w:val="Satznummer"/>
        </w:rPr>
        <w:t>1</w:t>
      </w:r>
      <w:r>
        <w:t xml:space="preserve">Maßnahmen der Geschäftsführung können dem Aufsichtsrat nicht übertragen werden. </w:t>
      </w:r>
      <w:r>
        <w:rPr>
          <w:rStyle w:val="Satznummer"/>
        </w:rPr>
        <w:t>2</w:t>
      </w:r>
      <w:r>
        <w:t xml:space="preserve">Die Satzung oder der Aufsichtsrat hat jedoch zu bestimmen, daß bestimmte Arten von Geschäften nur mit seiner Zustimmung vorgenommen werden dürfen. </w:t>
      </w:r>
      <w:r>
        <w:rPr>
          <w:rStyle w:val="Satznummer"/>
        </w:rPr>
        <w:t>3</w:t>
      </w:r>
      <w:r>
        <w:t xml:space="preserve">Verweigert der Aufsichtsrat seine Zustimmung, so kann der Vorstand verlangen, daß die Hauptversammlung über die Zustimmung beschließt. </w:t>
      </w:r>
      <w:r>
        <w:rPr>
          <w:rStyle w:val="Satznummer"/>
        </w:rPr>
        <w:t>4</w:t>
      </w:r>
      <w:r>
        <w:t xml:space="preserve">Der Beschluß, durch den die Hauptversammlung zustimmt, bedarf einer Mehrheit, die mindestens drei Viertel der abgegebenen Stimmen umfaßt. </w:t>
      </w:r>
      <w:r>
        <w:rPr>
          <w:rStyle w:val="Satznummer"/>
        </w:rPr>
        <w:t>5</w:t>
      </w:r>
      <w:r>
        <w:t>Die Satzung kann weder eine andere Mehrheit noch weitere Erfordernisse bestimmen.</w:t>
      </w:r>
    </w:p>
    <w:p>
      <w:r>
        <w:t xml:space="preserve">(5) </w:t>
      </w:r>
      <w:r>
        <w:rPr>
          <w:rStyle w:val="Satznummer"/>
        </w:rPr>
        <w:t>1</w:t>
      </w:r>
      <w:r>
        <w:t xml:space="preserve">Der Aufsichtsrat von Gesellschaften, die börsennotiert sind oder der Mitbestimmung unterliegen, legt für den Frauenanteil im Aufsichtsrat und im Vorstand Zielgrößen fest. </w:t>
      </w:r>
      <w:r>
        <w:rPr>
          <w:rStyle w:val="Satznummer"/>
        </w:rPr>
        <w:t>2</w:t>
      </w:r>
      <w:r>
        <w:t xml:space="preserve">Die Zielgrößen müssen den angestrebten Frauenanteil am jeweiligen Gesamtgremium beschreiben und bei Angaben in Prozent vollen Personenzahlen entsprechen. </w:t>
      </w:r>
      <w:r>
        <w:rPr>
          <w:rStyle w:val="Satznummer"/>
        </w:rPr>
        <w:t>3</w:t>
      </w:r>
      <w:r>
        <w:t xml:space="preserve">Legt der Aufsichtsrat für den Aufsichtsrat oder den Vorstand die Zielgröße Null fest, so hat er diesen Beschluss klar und verständlich zu begründen. </w:t>
      </w:r>
      <w:r>
        <w:rPr>
          <w:rStyle w:val="Satznummer"/>
        </w:rPr>
        <w:t>4</w:t>
      </w:r>
      <w:r>
        <w:t xml:space="preserve">Die Begründung muss ausführlich die Erwägungen darlegen, die der Entscheidung zugrunde liegen. </w:t>
      </w:r>
      <w:r>
        <w:rPr>
          <w:rStyle w:val="Satznummer"/>
        </w:rPr>
        <w:t>5</w:t>
      </w:r>
      <w:r>
        <w:t xml:space="preserve">Liegt der Frauenanteil bei Festlegung der Zielgrößen unter 30 Prozent, so dürfen die Zielgrößen den jeweils erreichten Anteil nicht mehr unterschreiten. </w:t>
      </w:r>
      <w:r>
        <w:rPr>
          <w:rStyle w:val="Satznummer"/>
        </w:rPr>
        <w:t>6</w:t>
      </w:r>
      <w:r>
        <w:t xml:space="preserve">Gleichzeitig sind Fristen zur Erreichung der Zielgrößen festzulegen. </w:t>
      </w:r>
      <w:r>
        <w:rPr>
          <w:rStyle w:val="Satznummer"/>
        </w:rPr>
        <w:t>7</w:t>
      </w:r>
      <w:r>
        <w:t xml:space="preserve">Die Fristen dürfen jeweils nicht länger als fünf Jahre sein. </w:t>
      </w:r>
      <w:r>
        <w:rPr>
          <w:rStyle w:val="Satznummer"/>
        </w:rPr>
        <w:t>8</w:t>
      </w:r>
      <w:r>
        <w:t xml:space="preserve">Wenn für den Aufsichtsrat bereits das Mindestanteilsgebot nach </w:t>
      </w:r>
      <w:hyperlink w:anchor="b118" w:history="1">
        <w:r>
          <w:rPr>
            <w:color w:val="0A3A8C"/>
            <w:u w:val="single"/>
          </w:rPr>
          <w:t xml:space="preserve">§ 96</w:t>
        </w:r>
      </w:hyperlink>
      <w:r>
        <w:t xml:space="preserve"> Absatz 2 oder 3 gilt, sind die Festlegungen nur für den Vorstand vorzunehmen. </w:t>
      </w:r>
      <w:r>
        <w:rPr>
          <w:rStyle w:val="Satznummer"/>
        </w:rPr>
        <w:t>9</w:t>
      </w:r>
      <w:r>
        <w:t xml:space="preserve">Gilt für den Vorstand das Beteiligungsgebot nach </w:t>
      </w:r>
      <w:hyperlink w:anchor="b96" w:history="1">
        <w:r>
          <w:rPr>
            <w:color w:val="0A3A8C"/>
            <w:u w:val="single"/>
          </w:rPr>
          <w:t xml:space="preserve">§ 76</w:t>
        </w:r>
      </w:hyperlink>
      <w:r>
        <w:t xml:space="preserve"> Absatz 3a, entfällt auch die Pflicht zur Zielgrößensetzung für den Vorstand.</w:t>
      </w:r>
    </w:p>
    <w:p>
      <w:r>
        <w:t>(6) Die Aufsichtsratsmitglieder können ihre Aufgaben nicht durch andere wahrnehmen lassen.</w:t>
      </w:r>
    </w:p>
    <w:p>
      <w:pPr>
        <w:pStyle w:val="Heading4"/>
      </w:pPr>
      <w:bookmarkStart w:id="135" w:name="b134"/>
      <w:r>
        <w:t>§ 111a Geschäfte mit nahestehenden Personen</w:t>
      </w:r>
      <w:r>
        <w:t xml:space="preserve"> </w:t>
      </w:r>
      <w:r>
        <w:rPr>
          <w:rStyle w:val="Suchmarke"/>
        </w:rPr>
        <w:t>#111a#</w:t>
      </w:r>
      <w:bookmarkEnd w:id="135"/>
    </w:p>
    <w:p>
      <w:r>
        <w:t xml:space="preserve">(1) </w:t>
      </w:r>
      <w:r>
        <w:rPr>
          <w:rStyle w:val="Satznummer"/>
        </w:rPr>
        <w:t>1</w:t>
      </w:r>
      <w:r>
        <w:t>Geschäfte mit nahestehenden Personen sind Rechtsgeschäfte oder Maßnahmen,</w:t>
      </w:r>
    </w:p>
    <w:p>
      <w:pPr>
        <w:tabs>
          <w:tab w:pos="567" w:val="left"/>
        </w:tabs>
        <w:ind w:left="567" w:hanging="567"/>
      </w:pPr>
      <w:r>
        <w:t>1.</w:t>
      </w:r>
      <w:r>
        <w:tab/>
      </w:r>
      <w:r>
        <w:t>durch die ein Gegenstand oder ein anderer Vermögenswert entgeltlich oder unentgeltlich übertragen oder zur Nutzung überlassen wird und</w:t>
      </w:r>
    </w:p>
    <w:p>
      <w:pPr>
        <w:tabs>
          <w:tab w:pos="567" w:val="left"/>
        </w:tabs>
        <w:ind w:left="567" w:hanging="567"/>
      </w:pPr>
      <w:r>
        <w:t>2.</w:t>
      </w:r>
      <w:r>
        <w:tab/>
      </w:r>
      <w:r>
        <w:t>die mit nahestehenden Personen gemäß Satz 2 getätigt werden.</w:t>
      </w:r>
    </w:p>
    <w:p>
      <w:r>
        <w:rPr>
          <w:rStyle w:val="Satznummer"/>
        </w:rPr>
        <w:t>2</w:t>
      </w:r>
      <w:r>
        <w:t xml:space="preserve">Nahestehende Personen sind nahestehende Unternehmen oder Personen im Sinne der internationalen Rechnungslegungsstandards, die durch die Verordnung (EG) Nr. 1126/2008 der Kommission vom 3. November 2008 zur Übernahme bestimmter internationaler Rechnungslegungsstandards gemäß der Verordnung (EG) Nr. 1606/2002 des Europäischen Parlaments und des Rates (ABl. L 320 vom 29.11.2008, S. 1; L 29 vom 2.2.2010, S. 34), die zuletzt durch die Verordnung (EU) 2019/412 (ABl. L 73 vom 15.3.2019, S. 93) geändert worden ist, in der jeweils geltenden Fassung übernommen wurden. </w:t>
      </w:r>
      <w:r>
        <w:rPr>
          <w:rStyle w:val="Satznummer"/>
        </w:rPr>
        <w:t>3</w:t>
      </w:r>
      <w:r>
        <w:t>Ein Unterlassen ist kein Geschäft im Sinne des Satzes 1.</w:t>
      </w:r>
    </w:p>
    <w:p>
      <w:r>
        <w:t xml:space="preserve">(2) </w:t>
      </w:r>
      <w:r>
        <w:rPr>
          <w:rStyle w:val="Satznummer"/>
        </w:rPr>
        <w:t>1</w:t>
      </w:r>
      <w:r>
        <w:t xml:space="preserve">Geschäfte, die im ordentlichen Geschäftsgang und zu marktüblichen Bedingungen mit nahestehenden Personen getätigt werden, gelten nicht als Geschäfte mit nahestehenden Personen im Sinne der </w:t>
      </w:r>
      <w:hyperlink w:anchor="b129" w:history="1">
        <w:r>
          <w:rPr>
            <w:color w:val="0A3A8C"/>
            <w:u w:val="single"/>
          </w:rPr>
          <w:t xml:space="preserve">§§ 107</w:t>
        </w:r>
      </w:hyperlink>
      <w:r>
        <w:t xml:space="preserve"> und </w:t>
      </w:r>
      <w:hyperlink w:anchor="b134" w:history="1">
        <w:r>
          <w:rPr>
            <w:color w:val="0A3A8C"/>
            <w:u w:val="single"/>
          </w:rPr>
          <w:t xml:space="preserve">111a</w:t>
        </w:r>
      </w:hyperlink>
      <w:r>
        <w:t xml:space="preserve"> bis </w:t>
      </w:r>
      <w:hyperlink w:anchor="b136" w:history="1">
        <w:r>
          <w:rPr>
            <w:color w:val="0A3A8C"/>
            <w:u w:val="single"/>
          </w:rPr>
          <w:t xml:space="preserve">111c</w:t>
        </w:r>
      </w:hyperlink>
      <w:r>
        <w:t xml:space="preserve">. </w:t>
      </w:r>
      <w:r>
        <w:rPr>
          <w:rStyle w:val="Satznummer"/>
        </w:rPr>
        <w:t>2</w:t>
      </w:r>
      <w:r>
        <w:t xml:space="preserve">Um regelmäßig zu bewerten, ob die Voraussetzungen nach Satz 1 vorliegen, richtet die börsennotierte Gesellschaft ein internes Verfahren ein, von dem die an dem Geschäft beteiligten nahestehenden Personen ausgeschlossen sind. </w:t>
      </w:r>
      <w:r>
        <w:rPr>
          <w:rStyle w:val="Satznummer"/>
        </w:rPr>
        <w:t>3</w:t>
      </w:r>
      <w:r>
        <w:t>Die Satzung kann jedoch bestimmen, dass Satz 1 nicht anzuwenden ist.</w:t>
      </w:r>
    </w:p>
    <w:p>
      <w:r>
        <w:t xml:space="preserve">(3) Nicht als Geschäfte mit nahestehenden Personen im Sinne der </w:t>
      </w:r>
      <w:hyperlink w:anchor="b129" w:history="1">
        <w:r>
          <w:rPr>
            <w:color w:val="0A3A8C"/>
            <w:u w:val="single"/>
          </w:rPr>
          <w:t xml:space="preserve">§§ 107</w:t>
        </w:r>
      </w:hyperlink>
      <w:r>
        <w:t xml:space="preserve"> und </w:t>
      </w:r>
      <w:hyperlink w:anchor="b134" w:history="1">
        <w:r>
          <w:rPr>
            <w:color w:val="0A3A8C"/>
            <w:u w:val="single"/>
          </w:rPr>
          <w:t xml:space="preserve">111a</w:t>
        </w:r>
      </w:hyperlink>
      <w:r>
        <w:t xml:space="preserve"> bis </w:t>
      </w:r>
      <w:hyperlink w:anchor="b136" w:history="1">
        <w:r>
          <w:rPr>
            <w:color w:val="0A3A8C"/>
            <w:u w:val="single"/>
          </w:rPr>
          <w:t xml:space="preserve">111c</w:t>
        </w:r>
      </w:hyperlink>
      <w:r>
        <w:t xml:space="preserve"> gelten ferner</w:t>
      </w:r>
    </w:p>
    <w:p>
      <w:pPr>
        <w:tabs>
          <w:tab w:pos="567" w:val="left"/>
        </w:tabs>
        <w:ind w:left="567" w:hanging="567"/>
      </w:pPr>
      <w:r>
        <w:t>1.</w:t>
      </w:r>
      <w:r>
        <w:tab/>
      </w:r>
      <w:r>
        <w:t>Geschäfte mit Tochterunternehmen im Sinne der internationalen Rechnungslegungsstandards, die durch die Verordnung (EG) Nr. 1126/2008 übernommen wurden, die unmittelbar oder mittelbar in 100-prozentigem Anteilsbesitz der Gesellschaft stehen oder an denen keine andere der Gesellschaft nahestehende Person beteiligt ist oder die ihren Sitz in einem Mitgliedstaat der Europäischen Union haben und deren Aktien zum Handel an einem in einem Mitgliedstaat gelegenen oder dort betriebenen geregelten Markt im Sinne des Artikels 4 Absatz 1 Nummer 21 der Richtlinie 2014/65/EU des Europäischen Parlaments und des Rates vom 15. Mai 2014 über Märkte für Finanzinstrumente sowie zur Änderung der Richtlinien 2002/92/EG und 2011/61/EU (ABl. L 173 vom 12.6.2014, S. 349; L 74 vom 18.3.2015, S. 38; L 188 vom 13.7.2016, S. 28; L 273 vom 8.10.2016, S. 35; L 64 vom 10.3.2017, S. 116; L 278 vom 27.10.2017, S. 56), die zuletzt durch die Richtlinie (EU) 2016/1034 (ABl. L 175 vom 30.6.2016, S. 8) geändert worden ist, zugelassen sind;</w:t>
      </w:r>
    </w:p>
    <w:p>
      <w:pPr>
        <w:tabs>
          <w:tab w:pos="567" w:val="left"/>
        </w:tabs>
        <w:ind w:left="567" w:hanging="567"/>
      </w:pPr>
      <w:r>
        <w:t>2.</w:t>
      </w:r>
      <w:r>
        <w:tab/>
      </w:r>
      <w:r>
        <w:t>Geschäfte, die einer Zustimmung oder Ermächtigung der Hauptversammlung bedürfen;</w:t>
      </w:r>
    </w:p>
    <w:p>
      <w:pPr>
        <w:tabs>
          <w:tab w:pos="567" w:val="left"/>
        </w:tabs>
        <w:ind w:left="567" w:hanging="567"/>
      </w:pPr>
      <w:r>
        <w:t>3.</w:t>
      </w:r>
      <w:r>
        <w:tab/>
      </w:r>
      <w:r>
        <w:t>alle in Umsetzung der Hauptversammlungszustimmung oder -ermächtigung vorgenommenen Geschäfte und Maßnahmen, insbesondere</w:t>
      </w:r>
    </w:p>
    <w:p>
      <w:pPr>
        <w:tabs>
          <w:tab w:pos="1134" w:val="left"/>
        </w:tabs>
        <w:ind w:left="1134" w:hanging="567"/>
      </w:pPr>
      <w:r>
        <w:t>a)</w:t>
      </w:r>
      <w:r>
        <w:tab/>
      </w:r>
      <w:r>
        <w:t>Maßnahmen der Kapitalbeschaffung oder Kapitalherabsetzung (</w:t>
      </w:r>
      <w:hyperlink w:anchor="b232" w:history="1">
        <w:r>
          <w:rPr>
            <w:color w:val="0A3A8C"/>
            <w:u w:val="single"/>
          </w:rPr>
          <w:t xml:space="preserve">§§ 182</w:t>
        </w:r>
      </w:hyperlink>
      <w:r>
        <w:t xml:space="preserve"> bis </w:t>
      </w:r>
      <w:hyperlink w:anchor="b300" w:history="1">
        <w:r>
          <w:rPr>
            <w:color w:val="0A3A8C"/>
            <w:u w:val="single"/>
          </w:rPr>
          <w:t xml:space="preserve">240</w:t>
        </w:r>
      </w:hyperlink>
      <w:r>
        <w:t>), Unternehmensverträge (</w:t>
      </w:r>
      <w:hyperlink w:anchor="b371" w:history="1">
        <w:r>
          <w:rPr>
            <w:color w:val="0A3A8C"/>
            <w:u w:val="single"/>
          </w:rPr>
          <w:t xml:space="preserve">§§ 291</w:t>
        </w:r>
      </w:hyperlink>
      <w:r>
        <w:t xml:space="preserve"> bis </w:t>
      </w:r>
      <w:hyperlink w:anchor="b397" w:history="1">
        <w:r>
          <w:rPr>
            <w:color w:val="0A3A8C"/>
            <w:u w:val="single"/>
          </w:rPr>
          <w:t xml:space="preserve">307</w:t>
        </w:r>
      </w:hyperlink>
      <w:r>
        <w:t>) und Geschäfte auf Grundlage eines solchen Vertrages,</w:t>
      </w:r>
    </w:p>
    <w:p>
      <w:pPr>
        <w:tabs>
          <w:tab w:pos="1134" w:val="left"/>
        </w:tabs>
        <w:ind w:left="1134" w:hanging="567"/>
      </w:pPr>
      <w:r>
        <w:t>b)</w:t>
      </w:r>
      <w:r>
        <w:tab/>
      </w:r>
      <w:r>
        <w:t xml:space="preserve">die Übertragung des ganzen Gesellschaftsvermögens gemäß </w:t>
      </w:r>
      <w:hyperlink w:anchor="b227" w:history="1">
        <w:r>
          <w:rPr>
            <w:color w:val="0A3A8C"/>
            <w:u w:val="single"/>
          </w:rPr>
          <w:t xml:space="preserve">§ 179a</w:t>
        </w:r>
      </w:hyperlink>
      <w:r>
        <w:t>,</w:t>
      </w:r>
    </w:p>
    <w:p>
      <w:pPr>
        <w:tabs>
          <w:tab w:pos="1134" w:val="left"/>
        </w:tabs>
        <w:ind w:left="1134" w:hanging="567"/>
      </w:pPr>
      <w:r>
        <w:t>c)</w:t>
      </w:r>
      <w:r>
        <w:tab/>
      </w:r>
      <w:r>
        <w:t>der Erwerb eigener Aktien nach § 71 Absatz 1 Nummer 7 und 8 Satzteil vor Satz 2,</w:t>
      </w:r>
    </w:p>
    <w:p>
      <w:pPr>
        <w:tabs>
          <w:tab w:pos="1134" w:val="left"/>
        </w:tabs>
        <w:ind w:left="1134" w:hanging="567"/>
      </w:pPr>
      <w:r>
        <w:t>d)</w:t>
      </w:r>
      <w:r>
        <w:tab/>
      </w:r>
      <w:r>
        <w:t xml:space="preserve">Verträge der Gesellschaft mit Gründern im Sinne des </w:t>
      </w:r>
      <w:hyperlink w:anchor="b57" w:history="1">
        <w:r>
          <w:rPr>
            <w:color w:val="0A3A8C"/>
            <w:u w:val="single"/>
          </w:rPr>
          <w:t xml:space="preserve">§ 52</w:t>
        </w:r>
      </w:hyperlink>
      <w:r>
        <w:t xml:space="preserve"> Absatz 1 Satz 1,</w:t>
      </w:r>
    </w:p>
    <w:p>
      <w:pPr>
        <w:tabs>
          <w:tab w:pos="1134" w:val="left"/>
        </w:tabs>
        <w:ind w:left="1134" w:hanging="567"/>
      </w:pPr>
      <w:r>
        <w:t>e)</w:t>
      </w:r>
      <w:r>
        <w:tab/>
      </w:r>
      <w:r>
        <w:t xml:space="preserve">der Ausschluss von Minderheitsaktionären nach den </w:t>
      </w:r>
      <w:hyperlink w:anchor="b425" w:history="1">
        <w:r>
          <w:rPr>
            <w:color w:val="0A3A8C"/>
            <w:u w:val="single"/>
          </w:rPr>
          <w:t xml:space="preserve">§§ 327a</w:t>
        </w:r>
      </w:hyperlink>
      <w:r>
        <w:t xml:space="preserve"> bis </w:t>
      </w:r>
      <w:hyperlink w:anchor="b430" w:history="1">
        <w:r>
          <w:rPr>
            <w:color w:val="0A3A8C"/>
            <w:u w:val="single"/>
          </w:rPr>
          <w:t xml:space="preserve">327f</w:t>
        </w:r>
      </w:hyperlink>
      <w:r>
        <w:t xml:space="preserve"> sowie</w:t>
      </w:r>
    </w:p>
    <w:p>
      <w:pPr>
        <w:tabs>
          <w:tab w:pos="1134" w:val="left"/>
        </w:tabs>
        <w:ind w:left="1134" w:hanging="567"/>
      </w:pPr>
      <w:r>
        <w:t>f)</w:t>
      </w:r>
      <w:r>
        <w:tab/>
      </w:r>
      <w:r>
        <w:t>Geschäfte im Rahmen einer Umwandlung im Sinne des Umwandlungsgesetzes;</w:t>
      </w:r>
    </w:p>
    <w:p>
      <w:pPr>
        <w:tabs>
          <w:tab w:pos="567" w:val="left"/>
        </w:tabs>
        <w:ind w:left="567" w:hanging="567"/>
      </w:pPr>
      <w:r>
        <w:t>4.</w:t>
      </w:r>
      <w:r>
        <w:tab/>
      </w:r>
      <w:r>
        <w:t xml:space="preserve">Geschäfte, die die Vergütung betreffen, die den Mitgliedern des Vorstands oder Aufsichtsrats im Einklang mit </w:t>
      </w:r>
      <w:hyperlink w:anchor="b138" w:history="1">
        <w:r>
          <w:rPr>
            <w:color w:val="0A3A8C"/>
            <w:u w:val="single"/>
          </w:rPr>
          <w:t xml:space="preserve">§ 113</w:t>
        </w:r>
      </w:hyperlink>
      <w:r>
        <w:t xml:space="preserve"> Absatz 3 oder </w:t>
      </w:r>
      <w:hyperlink w:anchor="b108" w:history="1">
        <w:r>
          <w:rPr>
            <w:color w:val="0A3A8C"/>
            <w:u w:val="single"/>
          </w:rPr>
          <w:t xml:space="preserve">§ 87a</w:t>
        </w:r>
      </w:hyperlink>
      <w:r>
        <w:t xml:space="preserve"> Absatz 2 gewährt oder geschuldet wird;</w:t>
      </w:r>
    </w:p>
    <w:p>
      <w:pPr>
        <w:tabs>
          <w:tab w:pos="567" w:val="left"/>
        </w:tabs>
        <w:ind w:left="567" w:hanging="567"/>
      </w:pPr>
      <w:r>
        <w:t>5.</w:t>
      </w:r>
      <w:r>
        <w:tab/>
      </w:r>
      <w:r>
        <w:t>Geschäfte von Kreditinstituten oder Wertpapierinstituten, die zur Sicherung ihrer Stabilität durch die zuständige Behörde angeordnet oder gebilligt wurden;</w:t>
      </w:r>
    </w:p>
    <w:p>
      <w:pPr>
        <w:tabs>
          <w:tab w:pos="567" w:val="left"/>
        </w:tabs>
        <w:ind w:left="567" w:hanging="567"/>
      </w:pPr>
      <w:r>
        <w:t>6.</w:t>
      </w:r>
      <w:r>
        <w:tab/>
      </w:r>
      <w:r>
        <w:t>Geschäfte, die allen Aktionären unter den gleichen Bedingungen angeboten werden.</w:t>
      </w:r>
    </w:p>
    <w:p>
      <w:pPr>
        <w:pStyle w:val="Heading4"/>
      </w:pPr>
      <w:bookmarkStart w:id="136" w:name="b135"/>
      <w:r>
        <w:t>§ 111b Zustimmungsvorbehalt des Aufsichtsrats bei Geschäften mit nahestehenden Personen</w:t>
      </w:r>
      <w:r>
        <w:t xml:space="preserve"> </w:t>
      </w:r>
      <w:r>
        <w:rPr>
          <w:rStyle w:val="Suchmarke"/>
        </w:rPr>
        <w:t>#111b#</w:t>
      </w:r>
      <w:bookmarkEnd w:id="136"/>
    </w:p>
    <w:p>
      <w:r>
        <w:t xml:space="preserve">(1) Ein Geschäft der börsennotierten Gesellschaft mit nahestehenden Personen, dessen wirtschaftlicher Wert allein oder zusammen mit den innerhalb des laufenden Geschäftsjahres vor Abschluss des Geschäfts mit derselben Person getätigten Geschäften 1,5 Prozent der Summe aus dem Anlage- und Umlaufvermögen der Gesellschaft gemäß § 266 Absatz 2 Buchstabe A und B des Handelsgesetzbuchs nach Maßgabe des zuletzt festgestellten Jahresabschlusses übersteigt, bedarf der vorherigen Zustimmung des Aufsichtsrats oder eines gemäß </w:t>
      </w:r>
      <w:hyperlink w:anchor="b129" w:history="1">
        <w:r>
          <w:rPr>
            <w:color w:val="0A3A8C"/>
            <w:u w:val="single"/>
          </w:rPr>
          <w:t xml:space="preserve">§ 107</w:t>
        </w:r>
      </w:hyperlink>
      <w:r>
        <w:t xml:space="preserve"> Absatz 3 Satz 4 bis 6 bestellten Ausschusses.</w:t>
      </w:r>
    </w:p>
    <w:p>
      <w:r>
        <w:t>(2) Bei der Beschlussfassung des Aufsichtsrats nach Absatz 1 können diejenigen Mitglieder des Aufsichtsrats ihr Stimmrecht nicht ausüben, die an dem Geschäft als nahestehende Personen beteiligt sind oder bei denen die Besorgnis eines Interessenkonfliktes auf Grund ihrer Beziehungen zu der nahestehenden Person besteht.</w:t>
      </w:r>
    </w:p>
    <w:p>
      <w:r>
        <w:t xml:space="preserve">(3) Ist die Gesellschaft Mutterunternehmen (§ 290 Absatz 1 und 2 des Handelsgesetzbuchs) und nicht gemäß </w:t>
      </w:r>
      <w:hyperlink w:anchor="b367" w:history="1">
        <w:r>
          <w:rPr>
            <w:color w:val="0A3A8C"/>
            <w:u w:val="single"/>
          </w:rPr>
          <w:t xml:space="preserve">§ 290</w:t>
        </w:r>
      </w:hyperlink>
      <w:r>
        <w:t xml:space="preserve"> Absatz 5 oder den §§ 291 bis 293 des Handelsgesetzbuchs von der Konzernrechnungslegungspflicht befreit, so tritt an die Stelle der Summe des Anlage- und Umlaufvermögens der Gesellschaft die Summe aus dem Anlage- und Umlaufvermögen des Konzerns gemäß </w:t>
      </w:r>
      <w:hyperlink w:anchor="b386" w:history="1">
        <w:r>
          <w:rPr>
            <w:color w:val="0A3A8C"/>
            <w:u w:val="single"/>
          </w:rPr>
          <w:t xml:space="preserve">§ 298</w:t>
        </w:r>
      </w:hyperlink>
      <w:r>
        <w:t xml:space="preserve"> Absatz 1 in Verbindung mit § 266 Absatz 2 Buchstabe A und B des Handelsgesetzbuchs nach Maßgabe des zuletzt gebilligten Konzernabschlusses oder in den Fällen des § 315e des Handelsgesetzbuchs die Summe aus den entsprechenden Vermögenswerten des Konzernabschlusses nach den internationalen Rechnungslegungsstandards.</w:t>
      </w:r>
    </w:p>
    <w:p>
      <w:r>
        <w:t xml:space="preserve">(4) </w:t>
      </w:r>
      <w:r>
        <w:rPr>
          <w:rStyle w:val="Satznummer"/>
        </w:rPr>
        <w:t>1</w:t>
      </w:r>
      <w:r>
        <w:t xml:space="preserve">Verweigert der Aufsichtsrat seine Zustimmung, so kann der Vorstand verlangen, dass die Hauptversammlung über die Zustimmung beschließt. </w:t>
      </w:r>
      <w:r>
        <w:rPr>
          <w:rStyle w:val="Satznummer"/>
        </w:rPr>
        <w:t>2</w:t>
      </w:r>
      <w:r>
        <w:t>Die an dem Geschäft beteiligten nahestehenden Personen dürfen ihr Stimmrecht bei der Beschlussfassung der Hauptversammlung weder für sich noch für einen anderen ausüben.</w:t>
      </w:r>
    </w:p>
    <w:p>
      <w:pPr>
        <w:pStyle w:val="Heading4"/>
      </w:pPr>
      <w:bookmarkStart w:id="137" w:name="b136"/>
      <w:r>
        <w:t>§ 111c Veröffentlichung von Geschäften mit nahestehenden Personen</w:t>
      </w:r>
      <w:r>
        <w:t xml:space="preserve"> </w:t>
      </w:r>
      <w:r>
        <w:rPr>
          <w:rStyle w:val="Suchmarke"/>
        </w:rPr>
        <w:t>#111c#</w:t>
      </w:r>
      <w:bookmarkEnd w:id="137"/>
    </w:p>
    <w:p>
      <w:r>
        <w:t xml:space="preserve">(1) </w:t>
      </w:r>
      <w:r>
        <w:rPr>
          <w:rStyle w:val="Satznummer"/>
        </w:rPr>
        <w:t>1</w:t>
      </w:r>
      <w:r>
        <w:t xml:space="preserve">Die börsennotierte Gesellschaft hat Angaben zu solchen Geschäften mit nahestehenden Personen, die gemäß § 111b Absatz 1 der Zustimmung bedürfen, unverzüglich gemäß Absatz 2 zu veröffentlichen. </w:t>
      </w:r>
      <w:r>
        <w:rPr>
          <w:rStyle w:val="Satznummer"/>
        </w:rPr>
        <w:t>2</w:t>
      </w:r>
      <w:r>
        <w:t xml:space="preserve">Ist die Zustimmungsbedürftigkeit eines Geschäfts nach </w:t>
      </w:r>
      <w:hyperlink w:anchor="b135" w:history="1">
        <w:r>
          <w:rPr>
            <w:color w:val="0A3A8C"/>
            <w:u w:val="single"/>
          </w:rPr>
          <w:t xml:space="preserve">§ 111b</w:t>
        </w:r>
      </w:hyperlink>
      <w:r>
        <w:t xml:space="preserve"> Absatz 1 durch Zusammenrechnung mehrerer Geschäfte ausgelöst worden, so sind auch diese Geschäfte zu veröffentlichen.</w:t>
      </w:r>
    </w:p>
    <w:p>
      <w:r>
        <w:t xml:space="preserve">(2) </w:t>
      </w:r>
      <w:r>
        <w:rPr>
          <w:rStyle w:val="Satznummer"/>
        </w:rPr>
        <w:t>1</w:t>
      </w:r>
      <w:r>
        <w:t xml:space="preserve">Die Veröffentlichung hat in einer Art und Weise zu erfolgen, die der Öffentlichkeit einen leichten Zugang zu den Angaben ermöglicht. </w:t>
      </w:r>
      <w:r>
        <w:rPr>
          <w:rStyle w:val="Satznummer"/>
        </w:rPr>
        <w:t>2</w:t>
      </w:r>
      <w:r>
        <w:t xml:space="preserve">Die Veröffentlichung hat entsprechend den Regelungen in § 3a Absatz 1 bis 4 der Wertpapierhandelsanzeigeverordnung vom 13. Dezember 2004 (BGBl. I S. 3376), die zuletzt durch Artikel 1 der Verordnung vom 19. Oktober 2018 (BGBl. I S. 1758) geändert worden ist, zu erfolgen. </w:t>
      </w:r>
      <w:r>
        <w:rPr>
          <w:rStyle w:val="Satznummer"/>
        </w:rPr>
        <w:t>3</w:t>
      </w:r>
      <w:r>
        <w:t xml:space="preserve">Die Veröffentlichung muss alle wesentlichen Informationen enthalten, die erforderlich sind, um zu bewerten, ob das Geschäft aus Sicht der Gesellschaft und der Aktionäre, die keine nahestehenden Personen sind, angemessen ist. </w:t>
      </w:r>
      <w:r>
        <w:rPr>
          <w:rStyle w:val="Satznummer"/>
        </w:rPr>
        <w:t>4</w:t>
      </w:r>
      <w:r>
        <w:t xml:space="preserve">Dies umfasst mindestens Informationen zur Art des Verhältnisses zu den nahestehenden Personen, die Namen der nahestehenden Personen sowie das Datum und den Wert des Geschäfts. </w:t>
      </w:r>
      <w:r>
        <w:rPr>
          <w:rStyle w:val="Satznummer"/>
        </w:rPr>
        <w:t>5</w:t>
      </w:r>
      <w:r>
        <w:t>Die Angaben sind zudem auf der Internetseite der Gesellschaft für einen Zeitraum von mindestens fünf Jahren öffentlich zugänglich zu machen.</w:t>
      </w:r>
    </w:p>
    <w:p>
      <w:r>
        <w:t xml:space="preserve">(3) </w:t>
      </w:r>
      <w:r>
        <w:rPr>
          <w:rStyle w:val="Satznummer"/>
        </w:rPr>
        <w:t>1</w:t>
      </w:r>
      <w:r>
        <w:t xml:space="preserve">Handelt es sich bei dem Geschäft mit einer nahestehenden Person um eine Insiderinformation gemäß Artikel 17 der Verordnung (EU) Nr. 596/2014 des Europäischen Parlaments und des Rates vom 16. April 2014 über Marktmissbrauch (Marktmissbrauchsverordnung) und zur Aufhebung der Richtlinie 2003/6/EG des Europäischen Parlaments und des Rates und der Richtlinien 2003/124/EG, 2003/125/EG und 2004/72/EG der Kommission (ABl. L 173 vom 12.6.2014, S. 1; L 287 vom 21.10.2016, S. 320; L 348 vom 21.12.2016, S. 83), die zuletzt durch die Verordnung (EU) 2016/1033 (ABl. L 175 vom 30.6.2016, S. 1) geändert worden ist, sind die nach Absatz 2 erforderlichen Angaben in die Mitteilung gemäß Artikel 17 der Verordnung (EU) Nr. 596/2014 aufzunehmen. </w:t>
      </w:r>
      <w:r>
        <w:rPr>
          <w:rStyle w:val="Satznummer"/>
        </w:rPr>
        <w:t>2</w:t>
      </w:r>
      <w:r>
        <w:t xml:space="preserve">In diesem Fall entfällt die Verpflichtung nach Absatz 1. </w:t>
      </w:r>
      <w:r>
        <w:rPr>
          <w:rStyle w:val="Satznummer"/>
        </w:rPr>
        <w:t>3</w:t>
      </w:r>
      <w:r>
        <w:t>Artikel 17 Absatz 4 und 5 der Verordnung (EU) Nr. 596/2014 gilt sinngemäß.</w:t>
      </w:r>
    </w:p>
    <w:p>
      <w:r>
        <w:t>(4) Ist die Gesellschaft Mutterunternehmen im Sinne der internationalen Rechnungslegungsstandards, die durch die Verordnung (EG) Nr. 1126/2008 übernommen wurden, gelten Absatz 1 Satz 1 sowie die Absätze 2 und 3 entsprechend für ein Geschäft eines Tochterunternehmens mit der Gesellschaft nahestehenden Personen, sofern dieses Geschäft, wenn es von der Gesellschaft vorgenommen worden wäre, nach § 111b Absatz 1 und 3 einer Zustimmung bedürfte.</w:t>
      </w:r>
    </w:p>
    <w:p>
      <w:pPr>
        <w:pStyle w:val="Heading4"/>
      </w:pPr>
      <w:bookmarkStart w:id="138" w:name="b137"/>
      <w:r>
        <w:t>§ 112 Vertretung der Gesellschaft gegenüber Vorstandsmitgliedern</w:t>
      </w:r>
      <w:r>
        <w:t xml:space="preserve"> </w:t>
      </w:r>
      <w:r>
        <w:rPr>
          <w:rStyle w:val="Suchmarke"/>
        </w:rPr>
        <w:t>#112#</w:t>
      </w:r>
      <w:bookmarkEnd w:id="138"/>
    </w:p>
    <w:p>
      <w:r>
        <w:rPr>
          <w:rStyle w:val="Satznummer"/>
        </w:rPr>
        <w:t>1</w:t>
      </w:r>
      <w:r>
        <w:t xml:space="preserve">Vorstandsmitgliedern gegenüber vertritt der Aufsichtsrat die Gesellschaft gerichtlich und außergerichtlich. </w:t>
      </w:r>
      <w:r>
        <w:rPr>
          <w:rStyle w:val="Satznummer"/>
        </w:rPr>
        <w:t>2</w:t>
      </w:r>
      <w:hyperlink w:anchor="b98" w:history="1">
        <w:r>
          <w:rPr>
            <w:color w:val="0A3A8C"/>
            <w:u w:val="single"/>
          </w:rPr>
          <w:t xml:space="preserve">§ 78</w:t>
        </w:r>
      </w:hyperlink>
      <w:r>
        <w:t xml:space="preserve"> Abs. 2 Satz 2 gilt entsprechend.</w:t>
      </w:r>
    </w:p>
    <w:p>
      <w:pPr>
        <w:pStyle w:val="Heading4"/>
      </w:pPr>
      <w:bookmarkStart w:id="139" w:name="b138"/>
      <w:r>
        <w:t>§ 113 Vergütung der Aufsichtsratsmitglieder</w:t>
      </w:r>
      <w:r>
        <w:t xml:space="preserve"> </w:t>
      </w:r>
      <w:r>
        <w:rPr>
          <w:rStyle w:val="Suchmarke"/>
        </w:rPr>
        <w:t>#113#</w:t>
      </w:r>
      <w:bookmarkEnd w:id="139"/>
    </w:p>
    <w:p>
      <w:r>
        <w:t xml:space="preserve">(1) </w:t>
      </w:r>
      <w:r>
        <w:rPr>
          <w:rStyle w:val="Satznummer"/>
        </w:rPr>
        <w:t>1</w:t>
      </w:r>
      <w:r>
        <w:t xml:space="preserve">Den Aufsichtsratsmitgliedern kann für ihre Tätigkeit eine Vergütung gewährt werden. </w:t>
      </w:r>
      <w:r>
        <w:rPr>
          <w:rStyle w:val="Satznummer"/>
        </w:rPr>
        <w:t>2</w:t>
      </w:r>
      <w:r>
        <w:t xml:space="preserve">Sie kann in der Satzung festgesetzt oder von der Hauptversammlung bewilligt werden. </w:t>
      </w:r>
      <w:r>
        <w:rPr>
          <w:rStyle w:val="Satznummer"/>
        </w:rPr>
        <w:t>3</w:t>
      </w:r>
      <w:r>
        <w:t>Sie soll in einem angemessenen Verhältnis zu den Aufgaben der Aufsichtsratsmitglieder und zur Lage der Gesellschaft stehen.</w:t>
      </w:r>
    </w:p>
    <w:p>
      <w:r>
        <w:t xml:space="preserve">(2) </w:t>
      </w:r>
      <w:r>
        <w:rPr>
          <w:rStyle w:val="Satznummer"/>
        </w:rPr>
        <w:t>1</w:t>
      </w:r>
      <w:r>
        <w:t xml:space="preserve">Den Mitgliedern des ersten Aufsichtsrats kann nur die Hauptversammlung eine Vergütung für ihre Tätigkeit bewilligen. </w:t>
      </w:r>
      <w:r>
        <w:rPr>
          <w:rStyle w:val="Satznummer"/>
        </w:rPr>
        <w:t>2</w:t>
      </w:r>
      <w:r>
        <w:t>Der Beschluß kann erst in der Hauptversammlung gefaßt werden, die über die Entlastung der Mitglieder des ersten Aufsichtsrats beschließt.</w:t>
      </w:r>
    </w:p>
    <w:p>
      <w:r>
        <w:t xml:space="preserve">(3) </w:t>
      </w:r>
      <w:r>
        <w:rPr>
          <w:rStyle w:val="Satznummer"/>
        </w:rPr>
        <w:t>1</w:t>
      </w:r>
      <w:r>
        <w:t xml:space="preserve">Bei börsennotierten Gesellschaften ist mindestens alle vier Jahre über die Vergütung der Aufsichtsratsmitglieder Beschluss zu fassen. </w:t>
      </w:r>
      <w:r>
        <w:rPr>
          <w:rStyle w:val="Satznummer"/>
        </w:rPr>
        <w:t>2</w:t>
      </w:r>
      <w:r>
        <w:t xml:space="preserve">Ein die Vergütung bestätigender Beschluss ist zulässig; im Übrigen gilt Absatz 1 Satz 2. </w:t>
      </w:r>
      <w:r>
        <w:rPr>
          <w:rStyle w:val="Satznummer"/>
        </w:rPr>
        <w:t>3</w:t>
      </w:r>
      <w:r>
        <w:t xml:space="preserve">In dem Beschluss sind die nach </w:t>
      </w:r>
      <w:hyperlink w:anchor="b108" w:history="1">
        <w:r>
          <w:rPr>
            <w:color w:val="0A3A8C"/>
            <w:u w:val="single"/>
          </w:rPr>
          <w:t xml:space="preserve">§ 87a</w:t>
        </w:r>
      </w:hyperlink>
      <w:r>
        <w:t xml:space="preserve"> Absatz 1 Satz 2 erforderlichen Angaben sinngemäß und in klarer und verständlicher Form zu machen oder in Bezug zu nehmen. </w:t>
      </w:r>
      <w:r>
        <w:rPr>
          <w:rStyle w:val="Satznummer"/>
        </w:rPr>
        <w:t>4</w:t>
      </w:r>
      <w:r>
        <w:t xml:space="preserve">Die Angaben können in der Satzung unterbleiben, wenn die Vergütung in der Satzung festgesetzt wird. </w:t>
      </w:r>
      <w:r>
        <w:rPr>
          <w:rStyle w:val="Satznummer"/>
        </w:rPr>
        <w:t>5</w:t>
      </w:r>
      <w:r>
        <w:t xml:space="preserve">Der Beschluss ist wegen eines Verstoßes gegen Satz 3 nicht anfechtbar. </w:t>
      </w:r>
      <w:r>
        <w:rPr>
          <w:rStyle w:val="Satznummer"/>
        </w:rPr>
        <w:t>6</w:t>
      </w:r>
      <w:hyperlink w:anchor="b150" w:history="1">
        <w:r>
          <w:rPr>
            <w:color w:val="0A3A8C"/>
            <w:u w:val="single"/>
          </w:rPr>
          <w:t xml:space="preserve">§ 120a</w:t>
        </w:r>
      </w:hyperlink>
      <w:r>
        <w:t xml:space="preserve"> Absatz 2 und 3 ist sinngemäß anzuwenden.</w:t>
      </w:r>
    </w:p>
    <w:p>
      <w:pPr>
        <w:pStyle w:val="Heading4"/>
      </w:pPr>
      <w:bookmarkStart w:id="140" w:name="b139"/>
      <w:r>
        <w:t>§ 114 Verträge mit Aufsichtsratsmitgliedern</w:t>
      </w:r>
      <w:r>
        <w:t xml:space="preserve"> </w:t>
      </w:r>
      <w:r>
        <w:rPr>
          <w:rStyle w:val="Suchmarke"/>
        </w:rPr>
        <w:t>#114#</w:t>
      </w:r>
      <w:bookmarkEnd w:id="140"/>
    </w:p>
    <w:p>
      <w:r>
        <w:t>(1) Verpflichtet sich ein Aufsichtsratsmitglied außerhalb seiner Tätigkeit im Aufsichtsrat durch einen Dienstvertrag, durch den ein Arbeitsverhältnis nicht begründet wird, oder durch einen Werkvertrag gegenüber der Gesellschaft zu einer Tätigkeit höherer Art, so hängt die Wirksamkeit des Vertrags von der Zustimmung des Aufsichtsrats ab.</w:t>
      </w:r>
    </w:p>
    <w:p>
      <w:r>
        <w:t xml:space="preserve">(2) </w:t>
      </w:r>
      <w:r>
        <w:rPr>
          <w:rStyle w:val="Satznummer"/>
        </w:rPr>
        <w:t>1</w:t>
      </w:r>
      <w:r>
        <w:t xml:space="preserve">Gewährt die Gesellschaft auf Grund eines solchen Vertrags dem Aufsichtsratsmitglied eine Vergütung, ohne daß der Aufsichtsrat dem Vertrag zugestimmt hat, so hat das Aufsichtsratsmitglied die Vergütung zurückzugewähren, es sei denn, daß der Aufsichtsrat den Vertrag genehmigt. </w:t>
      </w:r>
      <w:r>
        <w:rPr>
          <w:rStyle w:val="Satznummer"/>
        </w:rPr>
        <w:t>2</w:t>
      </w:r>
      <w:r>
        <w:t>Ein Anspruch des Aufsichtsratsmitglieds gegen die Gesellschaft auf Herausgabe der durch die geleistete Tätigkeit erlangten Bereicherung bleibt unberührt; der Anspruch kann jedoch nicht gegen den Rückgewähranspruch aufgerechnet werden.</w:t>
      </w:r>
    </w:p>
    <w:p>
      <w:pPr>
        <w:pStyle w:val="Heading4"/>
      </w:pPr>
      <w:bookmarkStart w:id="141" w:name="b140"/>
      <w:r>
        <w:t>§ 115 Kreditgewährung an Aufsichtsratsmitglieder</w:t>
      </w:r>
      <w:r>
        <w:t xml:space="preserve"> </w:t>
      </w:r>
      <w:r>
        <w:rPr>
          <w:rStyle w:val="Suchmarke"/>
        </w:rPr>
        <w:t>#115#</w:t>
      </w:r>
      <w:bookmarkEnd w:id="141"/>
    </w:p>
    <w:p>
      <w:r>
        <w:t xml:space="preserve">(1) </w:t>
      </w:r>
      <w:r>
        <w:rPr>
          <w:rStyle w:val="Satznummer"/>
        </w:rPr>
        <w:t>1</w:t>
      </w:r>
      <w:r>
        <w:t xml:space="preserve">Die Gesellschaft darf ihren Aufsichtsratsmitgliedern Kredit nur mit Einwilligung des Aufsichtsrats gewähren. </w:t>
      </w:r>
      <w:r>
        <w:rPr>
          <w:rStyle w:val="Satznummer"/>
        </w:rPr>
        <w:t>2</w:t>
      </w:r>
      <w:r>
        <w:t xml:space="preserve">Eine herrschende Gesellschaft darf Kredite an Aufsichtsratsmitglieder eines abhängigen Unternehmens nur mit Einwilligung ihres Aufsichtsrats, eine abhängige Gesellschaft darf Kredite an Aufsichtsratsmitglieder des herrschenden Unternehmens nur mit Einwilligung des Aufsichtsrats des herrschenden Unternehmens gewähren. </w:t>
      </w:r>
      <w:r>
        <w:rPr>
          <w:rStyle w:val="Satznummer"/>
        </w:rPr>
        <w:t>3</w:t>
      </w:r>
      <w:r>
        <w:t xml:space="preserve">Die Einwilligung kann nur für bestimmte Kreditgeschäfte oder Arten von Kreditgeschäften und nicht für länger als drei Monate im voraus erteilt werden. </w:t>
      </w:r>
      <w:r>
        <w:rPr>
          <w:rStyle w:val="Satznummer"/>
        </w:rPr>
        <w:t>4</w:t>
      </w:r>
      <w:r>
        <w:t xml:space="preserve">Der Beschluß über die Einwilligung hat die Verzinsung und Rückzahlung des Kredits zu regeln. </w:t>
      </w:r>
      <w:r>
        <w:rPr>
          <w:rStyle w:val="Satznummer"/>
        </w:rPr>
        <w:t>5</w:t>
      </w:r>
      <w:r>
        <w:t>Betreibt das Aufsichtsratsmitglied ein Handelsgewerbe als Einzelkaufmann, so ist die Einwilligung nicht erforderlich, wenn der Kredit für die Bezahlung von Waren gewährt wird, welche die Gesellschaft seinem Handelsgeschäft liefert.</w:t>
      </w:r>
    </w:p>
    <w:p>
      <w:r>
        <w:t>(2) Absatz 1 gilt auch für Kredite an den Ehegatten, Lebenspartner oder an ein minderjähriges Kind eines Aufsichtsratsmitglieds und für Kredite an einen Dritten, der für Rechnung dieser Personen oder für Rechnung eines Aufsichtsratsmitglieds handelt.</w:t>
      </w:r>
    </w:p>
    <w:p>
      <w:r>
        <w:t xml:space="preserve">(3) </w:t>
      </w:r>
      <w:r>
        <w:rPr>
          <w:rStyle w:val="Satznummer"/>
        </w:rPr>
        <w:t>1</w:t>
      </w:r>
      <w:r>
        <w:t xml:space="preserve">Ist ein Aufsichtsratsmitglied zugleich gesetzlicher Vertreter einer anderen juristischen Person oder Gesellschafter einer Personenhandelsgesellschaft, so darf die Gesellschaft der juristischen Person oder der Personenhandelsgesellschaft Kredit nur mit Einwilligung des Aufsichtsrats gewähren; Absatz 1 Satz 3 und 4 gilt sinngemäß. </w:t>
      </w:r>
      <w:r>
        <w:rPr>
          <w:rStyle w:val="Satznummer"/>
        </w:rPr>
        <w:t>2</w:t>
      </w:r>
      <w:r>
        <w:t>Dies gilt nicht, wenn die juristische Person oder die Personenhandelsgesellschaft mit der Gesellschaft verbunden ist oder wenn der Kredit für die Bezahlung von Waren gewährt wird, welche die Gesellschaft der juristischen Person oder der Personenhandelsgesellschaft liefert.</w:t>
      </w:r>
    </w:p>
    <w:p>
      <w:r>
        <w:t>(4) Wird entgegen den Absätzen 1 bis 3 Kredit gewährt, so ist der Kredit ohne Rücksicht auf entgegenstehende Vereinbarungen sofort zurückzugewähren, wenn nicht der Aufsichtsrat nachträglich zustimmt.</w:t>
      </w:r>
    </w:p>
    <w:p>
      <w:r>
        <w:t>(5) Ist die Gesellschaft ein Kreditinstitut oder Finanzdienstleistungsinstitut, auf das § 15 des Gesetzes über das Kreditwesen anzuwenden ist, gelten anstelle der Absätze 1 bis 4 die Vorschriften des Gesetzes über das Kreditwesen.</w:t>
      </w:r>
    </w:p>
    <w:p>
      <w:pPr>
        <w:pStyle w:val="Heading4"/>
      </w:pPr>
      <w:bookmarkStart w:id="142" w:name="b141"/>
      <w:r>
        <w:t>§ 116 Sorgfaltspflicht und Verantwortlichkeit der Aufsichtsratsmitglieder</w:t>
      </w:r>
      <w:r>
        <w:t xml:space="preserve"> </w:t>
      </w:r>
      <w:r>
        <w:rPr>
          <w:rStyle w:val="Suchmarke"/>
        </w:rPr>
        <w:t>#116#</w:t>
      </w:r>
      <w:bookmarkEnd w:id="142"/>
    </w:p>
    <w:p>
      <w:r>
        <w:rPr>
          <w:rStyle w:val="Satznummer"/>
        </w:rPr>
        <w:t>1</w:t>
      </w:r>
      <w:r>
        <w:t xml:space="preserve">Für die Sorgfaltspflicht und Verantwortlichkeit der Aufsichtsratsmitglieder gelten </w:t>
      </w:r>
      <w:hyperlink w:anchor="b114" w:history="1">
        <w:r>
          <w:rPr>
            <w:color w:val="0A3A8C"/>
            <w:u w:val="single"/>
          </w:rPr>
          <w:t xml:space="preserve">§ 93</w:t>
        </w:r>
      </w:hyperlink>
      <w:r>
        <w:t xml:space="preserve"> mit Ausnahme des Absatzes 2 Satz 3 über die Sorgfaltspflicht und Verantwortlichkeit der Vorstandsmitglieder und § 15b der Insolvenzordnung sinngemäß. </w:t>
      </w:r>
      <w:r>
        <w:rPr>
          <w:rStyle w:val="Satznummer"/>
        </w:rPr>
        <w:t>2</w:t>
      </w:r>
      <w:r>
        <w:t xml:space="preserve">Die Aufsichtsratsmitglieder sind insbesondere zur Verschwiegenheit über erhaltene vertrauliche Berichte und vertrauliche Beratungen verpflichtet. </w:t>
      </w:r>
      <w:r>
        <w:rPr>
          <w:rStyle w:val="Satznummer"/>
        </w:rPr>
        <w:t>3</w:t>
      </w:r>
      <w:r>
        <w:t>Sie sind namentlich zum Ersatz verpflichtet, wenn sie eine unangemessene Vergütung festsetzen (</w:t>
      </w:r>
      <w:hyperlink w:anchor="b107" w:history="1">
        <w:r>
          <w:rPr>
            <w:color w:val="0A3A8C"/>
            <w:u w:val="single"/>
          </w:rPr>
          <w:t xml:space="preserve">§ 87</w:t>
        </w:r>
      </w:hyperlink>
      <w:r>
        <w:t xml:space="preserve"> Absatz 1).</w:t>
      </w:r>
    </w:p>
    <w:p>
      <w:pPr>
        <w:pStyle w:val="Heading3"/>
      </w:pPr>
      <w:bookmarkStart w:id="143" w:name="b142"/>
      <w:r>
        <w:t>Dritter Abschnitt Benutzung des Einflusses auf die Gesellschaft</w:t>
      </w:r>
      <w:bookmarkEnd w:id="143"/>
    </w:p>
    <w:p>
      <w:pPr>
        <w:pStyle w:val="Heading4"/>
      </w:pPr>
      <w:bookmarkStart w:id="144" w:name="b143"/>
      <w:r>
        <w:t>§ 117 Schadenersatzpflicht</w:t>
      </w:r>
      <w:r>
        <w:t xml:space="preserve"> </w:t>
      </w:r>
      <w:r>
        <w:rPr>
          <w:rStyle w:val="Suchmarke"/>
        </w:rPr>
        <w:t>#117#</w:t>
      </w:r>
      <w:bookmarkEnd w:id="144"/>
    </w:p>
    <w:p>
      <w:r>
        <w:t xml:space="preserve">(1) </w:t>
      </w:r>
      <w:r>
        <w:rPr>
          <w:rStyle w:val="Satznummer"/>
        </w:rPr>
        <w:t>1</w:t>
      </w:r>
      <w:r>
        <w:t xml:space="preserve">Wer vorsätzlich unter Benutzung seines Einflusses auf die Gesellschaft ein Mitglied des Vorstands oder des Aufsichtsrats, einen Prokuristen oder einen Handlungsbevollmächtigten dazu bestimmt, zum Schaden der Gesellschaft oder ihrer Aktionäre zu handeln, ist der Gesellschaft zum Ersatz des ihr daraus entstehenden Schadens verpflichtet. </w:t>
      </w:r>
      <w:r>
        <w:rPr>
          <w:rStyle w:val="Satznummer"/>
        </w:rPr>
        <w:t>2</w:t>
      </w:r>
      <w:r>
        <w:t>Er ist auch den Aktionären zum Ersatz des ihnen daraus entstehenden Schadens verpflichtet, soweit sie, abgesehen von einem Schaden, der ihnen durch Schädigung der Gesellschaft zugefügt worden ist, geschädigt worden sind.</w:t>
      </w:r>
    </w:p>
    <w:p>
      <w:r>
        <w:t xml:space="preserve">(2) </w:t>
      </w:r>
      <w:r>
        <w:rPr>
          <w:rStyle w:val="Satznummer"/>
        </w:rPr>
        <w:t>1</w:t>
      </w:r>
      <w:r>
        <w:t xml:space="preserve">Neben ihm haften als Gesamtschuldner die Mitglieder des Vorstands und des Aufsichtsrats, wenn sie unter Verletzung ihrer Pflichten gehandelt haben. </w:t>
      </w:r>
      <w:r>
        <w:rPr>
          <w:rStyle w:val="Satznummer"/>
        </w:rPr>
        <w:t>2</w:t>
      </w:r>
      <w:r>
        <w:t xml:space="preserve">Ist streitig, ob sie die Sorgfalt eines ordentlichen und gewissenhaften Geschäftsleiters angewandt haben, so trifft sie die Beweislast. </w:t>
      </w:r>
      <w:r>
        <w:rPr>
          <w:rStyle w:val="Satznummer"/>
        </w:rPr>
        <w:t>3</w:t>
      </w:r>
      <w:r>
        <w:t xml:space="preserve">Der Gesellschaft und auch den Aktionären gegenüber tritt die Ersatzpflicht der Mitglieder des Vorstands und des Aufsichtsrats nicht ein, wenn die Handlung auf einem gesetzmäßigen Beschluß der Hauptversammlung beruht. </w:t>
      </w:r>
      <w:r>
        <w:rPr>
          <w:rStyle w:val="Satznummer"/>
        </w:rPr>
        <w:t>4</w:t>
      </w:r>
      <w:r>
        <w:t>Dadurch, daß der Aufsichtsrat die Handlung gebilligt hat, wird die Ersatzpflicht nicht ausgeschlossen.</w:t>
      </w:r>
    </w:p>
    <w:p>
      <w:r>
        <w:t>(3) Neben ihm haftet ferner als Gesamtschuldner, wer durch die schädigende Handlung einen Vorteil erlangt hat, sofern er die Beeinflussung vorsätzlich veranlaßt hat.</w:t>
      </w:r>
    </w:p>
    <w:p>
      <w:r>
        <w:t xml:space="preserve">(4) Für die Aufhebung der Ersatzpflicht gegenüber der Gesellschaft gilt sinngemäß </w:t>
      </w:r>
      <w:hyperlink w:anchor="b114" w:history="1">
        <w:r>
          <w:rPr>
            <w:color w:val="0A3A8C"/>
            <w:u w:val="single"/>
          </w:rPr>
          <w:t xml:space="preserve">§ 93</w:t>
        </w:r>
      </w:hyperlink>
      <w:r>
        <w:t xml:space="preserve"> Abs. 4 Satz 3 und 4.</w:t>
      </w:r>
    </w:p>
    <w:p>
      <w:r>
        <w:t xml:space="preserve">(5) </w:t>
      </w:r>
      <w:r>
        <w:rPr>
          <w:rStyle w:val="Satznummer"/>
        </w:rPr>
        <w:t>1</w:t>
      </w:r>
      <w:r>
        <w:t xml:space="preserve">Der Ersatzanspruch der Gesellschaft kann auch von den Gläubigern der Gesellschaft geltend gemacht werden, soweit sie von dieser keine Befriedigung erlangen können. </w:t>
      </w:r>
      <w:r>
        <w:rPr>
          <w:rStyle w:val="Satznummer"/>
        </w:rPr>
        <w:t>2</w:t>
      </w:r>
      <w:r>
        <w:t xml:space="preserve">Den Gläubigern gegenüber wird die Ersatzpflicht weder durch einen Verzicht oder Vergleich der Gesellschaft noch dadurch aufgehoben, daß die Handlung auf einem Beschluß der Hauptversammlung beruht. </w:t>
      </w:r>
      <w:r>
        <w:rPr>
          <w:rStyle w:val="Satznummer"/>
        </w:rPr>
        <w:t>3</w:t>
      </w:r>
      <w:r>
        <w:t>Ist über das Vermögen der Gesellschaft das Insolvenzverfahren eröffnet, so übt während dessen Dauer der Insolvenzverwalter oder der Sachwalter das Recht der Gläubiger aus.</w:t>
      </w:r>
    </w:p>
    <w:p>
      <w:r>
        <w:t>(6) Die Ansprüche aus diesen Vorschriften verjähren in fünf Jahren.</w:t>
      </w:r>
    </w:p>
    <w:p>
      <w:r>
        <w:t>(7) Diese Vorschriften gelten nicht, wenn das Mitglied des Vorstands oder des Aufsichtsrats, der Prokurist oder der Handlungsbevollmächtigte durch Ausübung</w:t>
      </w:r>
    </w:p>
    <w:p>
      <w:pPr>
        <w:tabs>
          <w:tab w:pos="567" w:val="left"/>
        </w:tabs>
        <w:ind w:left="567" w:hanging="567"/>
      </w:pPr>
      <w:r>
        <w:t>1.</w:t>
      </w:r>
      <w:r>
        <w:tab/>
      </w:r>
      <w:r>
        <w:t>der Leitungsmacht auf Grund eines Beherrschungsvertrags oder</w:t>
      </w:r>
    </w:p>
    <w:p>
      <w:pPr>
        <w:tabs>
          <w:tab w:pos="567" w:val="left"/>
        </w:tabs>
        <w:ind w:left="567" w:hanging="567"/>
      </w:pPr>
      <w:r>
        <w:t>2.</w:t>
      </w:r>
      <w:r>
        <w:tab/>
      </w:r>
      <w:r>
        <w:t>der Leitungsmacht einer Hauptgesellschaft (</w:t>
      </w:r>
      <w:hyperlink w:anchor="b413" w:history="1">
        <w:r>
          <w:rPr>
            <w:color w:val="0A3A8C"/>
            <w:u w:val="single"/>
          </w:rPr>
          <w:t xml:space="preserve">§ 319</w:t>
        </w:r>
      </w:hyperlink>
      <w:r>
        <w:t>), in die die Gesellschaft eingegliedert ist,</w:t>
      </w:r>
    </w:p>
    <w:p>
      <w:r>
        <w:t>zu der schädigenden Handlung bestimmt worden ist.</w:t>
      </w:r>
    </w:p>
    <w:p>
      <w:pPr>
        <w:pStyle w:val="Heading3"/>
      </w:pPr>
      <w:bookmarkStart w:id="145" w:name="b144"/>
      <w:r>
        <w:t>Vierter Abschnitt Hauptversammlung</w:t>
      </w:r>
      <w:bookmarkEnd w:id="145"/>
    </w:p>
    <w:p>
      <w:pPr>
        <w:pStyle w:val="Heading4"/>
      </w:pPr>
      <w:bookmarkStart w:id="146" w:name="b145"/>
      <w:r>
        <w:t>Erster Unterabschnitt Rechte der Hauptversammlung</w:t>
      </w:r>
      <w:bookmarkEnd w:id="146"/>
    </w:p>
    <w:p>
      <w:pPr>
        <w:pStyle w:val="Heading5"/>
      </w:pPr>
      <w:bookmarkStart w:id="147" w:name="b146"/>
      <w:r>
        <w:t>§ 118 Allgemeines</w:t>
      </w:r>
      <w:r>
        <w:t xml:space="preserve"> </w:t>
      </w:r>
      <w:r>
        <w:rPr>
          <w:rStyle w:val="Suchmarke"/>
        </w:rPr>
        <w:t>#118#</w:t>
      </w:r>
      <w:bookmarkEnd w:id="147"/>
    </w:p>
    <w:p>
      <w:r>
        <w:t xml:space="preserve">(1) </w:t>
      </w:r>
      <w:r>
        <w:rPr>
          <w:rStyle w:val="Satznummer"/>
        </w:rPr>
        <w:t>1</w:t>
      </w:r>
      <w:r>
        <w:t xml:space="preserve">Die Aktionäre üben ihre Rechte in den Angelegenheiten der Gesellschaft in der Hauptversammlung aus, soweit das Gesetz nichts anderes bestimmt. </w:t>
      </w:r>
      <w:r>
        <w:rPr>
          <w:rStyle w:val="Satznummer"/>
        </w:rPr>
        <w:t>2</w:t>
      </w:r>
      <w:r>
        <w:t xml:space="preserve">Die Satzung kann vorsehen oder den Vorstand dazu ermächtigen vorzusehen, dass die Aktionäre an der Hauptversammlung auch ohne Anwesenheit an deren Ort und ohne einen Bevollmächtigten teilnehmen und sämtliche oder einzelne ihrer Rechte ganz oder teilweise im Wege elektronischer Kommunikation ausüben können. </w:t>
      </w:r>
      <w:r>
        <w:rPr>
          <w:rStyle w:val="Satznummer"/>
        </w:rPr>
        <w:t>3</w:t>
      </w:r>
      <w:r>
        <w:t xml:space="preserve">Bei elektronischer Ausübung des Stimmrechts ist dem Abgebenden der Zugang der elektronisch abgegebenen Stimme nach den Anforderungen gemäß Artikel 7 Absatz 1 und Artikel 9 Absatz 5 Unterabsatz 1 der Durchführungsverordnung (EU) 2018/1212 von der Gesellschaft elektronisch zu bestätigen. </w:t>
      </w:r>
      <w:r>
        <w:rPr>
          <w:rStyle w:val="Satznummer"/>
        </w:rPr>
        <w:t>4</w:t>
      </w:r>
      <w:r>
        <w:t xml:space="preserve">Sofern die Bestätigung einem Intermediär erteilt wird, hat dieser die Bestätigung unverzüglich dem Aktionär zu übermitteln. </w:t>
      </w:r>
      <w:r>
        <w:rPr>
          <w:rStyle w:val="Satznummer"/>
        </w:rPr>
        <w:t>5</w:t>
      </w:r>
      <w:hyperlink w:anchor="b75" w:history="1">
        <w:r>
          <w:rPr>
            <w:color w:val="0A3A8C"/>
            <w:u w:val="single"/>
          </w:rPr>
          <w:t xml:space="preserve">§ 67a</w:t>
        </w:r>
      </w:hyperlink>
      <w:r>
        <w:t xml:space="preserve"> Absatz 2 Satz 1 und Absatz 3 gilt entsprechend.</w:t>
      </w:r>
    </w:p>
    <w:p>
      <w:r>
        <w:t xml:space="preserve">(2) </w:t>
      </w:r>
      <w:r>
        <w:rPr>
          <w:rStyle w:val="Satznummer"/>
        </w:rPr>
        <w:t>1</w:t>
      </w:r>
      <w:r>
        <w:t xml:space="preserve">Die Satzung kann vorsehen oder den Vorstand dazu ermächtigen vorzusehen, dass Aktionäre ihre Stimmen, auch ohne an der Versammlung teilzunehmen, schriftlich oder im Wege elektronischer Kommunikation abgeben dürfen (Briefwahl). </w:t>
      </w:r>
      <w:r>
        <w:rPr>
          <w:rStyle w:val="Satznummer"/>
        </w:rPr>
        <w:t>2</w:t>
      </w:r>
      <w:r>
        <w:t>Absatz 1 Satz 3 bis 5 gilt entsprechend.</w:t>
      </w:r>
    </w:p>
    <w:p>
      <w:r>
        <w:t xml:space="preserve">(3) </w:t>
      </w:r>
      <w:r>
        <w:rPr>
          <w:rStyle w:val="Satznummer"/>
        </w:rPr>
        <w:t>1</w:t>
      </w:r>
      <w:r>
        <w:t xml:space="preserve">Die Mitglieder des Vorstands und des Aufsichtsrats sollen an der Hauptversammlung teilnehmen. </w:t>
      </w:r>
      <w:r>
        <w:rPr>
          <w:rStyle w:val="Satznummer"/>
        </w:rPr>
        <w:t>2</w:t>
      </w:r>
      <w:r>
        <w:t>Die Satzung kann jedoch bestimmte Fälle vorsehen, in denen die Teilnahme von Mitgliedern des Aufsichtsrats im Wege der Bild- und Tonübertragung erfolgen darf.</w:t>
      </w:r>
    </w:p>
    <w:p>
      <w:r>
        <w:t xml:space="preserve">(4) Die Satzung oder die Geschäftsordnung gemäß </w:t>
      </w:r>
      <w:hyperlink w:anchor="b163" w:history="1">
        <w:r>
          <w:rPr>
            <w:color w:val="0A3A8C"/>
            <w:u w:val="single"/>
          </w:rPr>
          <w:t xml:space="preserve">§ 129</w:t>
        </w:r>
      </w:hyperlink>
      <w:r>
        <w:t xml:space="preserve"> Abs. 1 kann vorsehen oder den Vorstand oder den Versammlungsleiter dazu ermächtigen vorzusehen, die Bild- und Tonübertragung der Versammlung zuzulassen.</w:t>
      </w:r>
    </w:p>
    <w:p>
      <w:pPr>
        <w:pStyle w:val="Heading5"/>
      </w:pPr>
      <w:bookmarkStart w:id="148" w:name="b147"/>
      <w:r>
        <w:t>§ 118a Virtuelle Hauptversammlung</w:t>
      </w:r>
      <w:r>
        <w:t xml:space="preserve"> </w:t>
      </w:r>
      <w:r>
        <w:rPr>
          <w:rStyle w:val="Suchmarke"/>
        </w:rPr>
        <w:t>#118a#</w:t>
      </w:r>
      <w:bookmarkEnd w:id="148"/>
    </w:p>
    <w:p>
      <w:r>
        <w:t xml:space="preserve">(1) </w:t>
      </w:r>
      <w:r>
        <w:rPr>
          <w:rStyle w:val="Satznummer"/>
        </w:rPr>
        <w:t>1</w:t>
      </w:r>
      <w:r>
        <w:t xml:space="preserve">Die Satzung kann vorsehen oder den Vorstand dazu ermächtigen, vorzusehen, dass die Versammlung ohne physische Präsenz der Aktionäre oder ihrer Bevollmächtigten am Ort der Hauptversammlung abgehalten wird (virtuelle Hauptversammlung). </w:t>
      </w:r>
      <w:r>
        <w:rPr>
          <w:rStyle w:val="Satznummer"/>
        </w:rPr>
        <w:t>2</w:t>
      </w:r>
      <w:r>
        <w:t>Wird eine virtuelle Hauptversammlung abgehalten, sind die folgenden Voraussetzungen einzuhalten:</w:t>
      </w:r>
    </w:p>
    <w:p>
      <w:pPr>
        <w:tabs>
          <w:tab w:pos="567" w:val="left"/>
        </w:tabs>
        <w:ind w:left="567" w:hanging="567"/>
      </w:pPr>
      <w:r>
        <w:t>1.</w:t>
      </w:r>
      <w:r>
        <w:tab/>
      </w:r>
      <w:r>
        <w:t>die gesamte Versammlung wird mit Bild und Ton übertragen,</w:t>
      </w:r>
    </w:p>
    <w:p>
      <w:pPr>
        <w:tabs>
          <w:tab w:pos="567" w:val="left"/>
        </w:tabs>
        <w:ind w:left="567" w:hanging="567"/>
      </w:pPr>
      <w:r>
        <w:t>2.</w:t>
      </w:r>
      <w:r>
        <w:tab/>
      </w:r>
      <w:r>
        <w:t>die Stimmrechtsausübung der Aktionäre ist im Wege elektronischer Kommunikation, namentlich über elektronische Teilnahme oder elektronische Briefwahl, sowie über Vollmachtserteilung möglich,</w:t>
      </w:r>
    </w:p>
    <w:p>
      <w:pPr>
        <w:tabs>
          <w:tab w:pos="567" w:val="left"/>
        </w:tabs>
        <w:ind w:left="567" w:hanging="567"/>
      </w:pPr>
      <w:r>
        <w:t>3.</w:t>
      </w:r>
      <w:r>
        <w:tab/>
      </w:r>
      <w:r>
        <w:t>den elektronisch zu der Versammlung zugeschalteten Aktionären wird das Recht eingeräumt, Anträge und Wahlvorschläge im Wege der Videokommunikation in der Versammlung zu stellen,</w:t>
      </w:r>
    </w:p>
    <w:p>
      <w:pPr>
        <w:tabs>
          <w:tab w:pos="567" w:val="left"/>
        </w:tabs>
        <w:ind w:left="567" w:hanging="567"/>
      </w:pPr>
      <w:r>
        <w:t>4.</w:t>
      </w:r>
      <w:r>
        <w:tab/>
      </w:r>
      <w:r>
        <w:t>den Aktionären wird ein Auskunftsrecht nach § 131 im Wege elektronischer Kommunikation eingeräumt,</w:t>
      </w:r>
    </w:p>
    <w:p>
      <w:pPr>
        <w:tabs>
          <w:tab w:pos="567" w:val="left"/>
        </w:tabs>
        <w:ind w:left="567" w:hanging="567"/>
      </w:pPr>
      <w:r>
        <w:t>5.</w:t>
      </w:r>
      <w:r>
        <w:tab/>
      </w:r>
      <w:r>
        <w:t>den Aktionären wird, sofern der Vorstand von der Möglichkeit des § 131 Absatz 1a Satz 1 Gebrauch macht, der Bericht des Vorstands oder dessen wesentlicher Inhalt bis spätestens sieben Tage vor der Versammlung zugänglich gemacht,</w:t>
      </w:r>
    </w:p>
    <w:p>
      <w:pPr>
        <w:tabs>
          <w:tab w:pos="567" w:val="left"/>
        </w:tabs>
        <w:ind w:left="567" w:hanging="567"/>
      </w:pPr>
      <w:r>
        <w:t>6.</w:t>
      </w:r>
      <w:r>
        <w:tab/>
      </w:r>
      <w:r>
        <w:t>den Aktionären wird das Recht eingeräumt, Stellungnahmen nach § 130a Absatz 1 bis 4 im Wege elektronischer Kommunikation einzureichen,</w:t>
      </w:r>
    </w:p>
    <w:p>
      <w:pPr>
        <w:tabs>
          <w:tab w:pos="567" w:val="left"/>
        </w:tabs>
        <w:ind w:left="567" w:hanging="567"/>
      </w:pPr>
      <w:r>
        <w:t>7.</w:t>
      </w:r>
      <w:r>
        <w:tab/>
      </w:r>
      <w:r>
        <w:t xml:space="preserve">den elektronisch zu der Versammlung zugeschalteten Aktionären wird ein Rederecht in der Versammlung im Wege der Videokommunikation nach </w:t>
      </w:r>
      <w:hyperlink w:anchor="b165" w:history="1">
        <w:r>
          <w:rPr>
            <w:color w:val="0A3A8C"/>
            <w:u w:val="single"/>
          </w:rPr>
          <w:t xml:space="preserve">§ 130a</w:t>
        </w:r>
      </w:hyperlink>
      <w:r>
        <w:t xml:space="preserve"> Absatz 5 und 6 eingeräumt,</w:t>
      </w:r>
    </w:p>
    <w:p>
      <w:pPr>
        <w:tabs>
          <w:tab w:pos="567" w:val="left"/>
        </w:tabs>
        <w:ind w:left="567" w:hanging="567"/>
      </w:pPr>
      <w:r>
        <w:t>8.</w:t>
      </w:r>
      <w:r>
        <w:tab/>
      </w:r>
      <w:r>
        <w:t>den elektronisch zu der Versammlung zugeschalteten Aktionären wird ein Recht zum Widerspruch gegen einen Beschluss der Hauptversammlung im Wege elektronischer Kommunikation eingeräumt.</w:t>
      </w:r>
    </w:p>
    <w:p>
      <w:r>
        <w:rPr>
          <w:rStyle w:val="Satznummer"/>
        </w:rPr>
        <w:t>3</w:t>
      </w:r>
      <w:r>
        <w:t xml:space="preserve">Für die Fristberechnung nach Satz 2 Nummer 5 gilt </w:t>
      </w:r>
      <w:hyperlink w:anchor="b152" w:history="1">
        <w:r>
          <w:rPr>
            <w:color w:val="0A3A8C"/>
            <w:u w:val="single"/>
          </w:rPr>
          <w:t xml:space="preserve">§ 121</w:t>
        </w:r>
      </w:hyperlink>
      <w:r>
        <w:t xml:space="preserve"> Absatz 7; bei börsennotierten Gesellschaften hat das Zugänglichmachen über die Internetseite der Gesellschaft zu erfolgen. </w:t>
      </w:r>
      <w:r>
        <w:rPr>
          <w:rStyle w:val="Satznummer"/>
        </w:rPr>
        <w:t>4</w:t>
      </w:r>
      <w:hyperlink w:anchor="b146" w:history="1">
        <w:r>
          <w:rPr>
            <w:color w:val="0A3A8C"/>
            <w:u w:val="single"/>
          </w:rPr>
          <w:t xml:space="preserve">§ 118</w:t>
        </w:r>
      </w:hyperlink>
      <w:r>
        <w:t xml:space="preserve"> Absatz 1 Satz 3 und 4 sowie </w:t>
      </w:r>
      <w:hyperlink w:anchor="b75" w:history="1">
        <w:r>
          <w:rPr>
            <w:color w:val="0A3A8C"/>
            <w:u w:val="single"/>
          </w:rPr>
          <w:t xml:space="preserve">§ 67a</w:t>
        </w:r>
      </w:hyperlink>
      <w:r>
        <w:t xml:space="preserve"> Absatz 2 Satz 1 und Absatz 3 gelten entsprechend.</w:t>
      </w:r>
    </w:p>
    <w:p>
      <w:r>
        <w:t xml:space="preserve">(2) </w:t>
      </w:r>
      <w:r>
        <w:rPr>
          <w:rStyle w:val="Satznummer"/>
        </w:rPr>
        <w:t>1</w:t>
      </w:r>
      <w:r>
        <w:t xml:space="preserve">Die Mitglieder des Vorstands sollen am Ort der Hauptversammlung teilnehmen. </w:t>
      </w:r>
      <w:r>
        <w:rPr>
          <w:rStyle w:val="Satznummer"/>
        </w:rPr>
        <w:t>2</w:t>
      </w:r>
      <w:r>
        <w:t xml:space="preserve">Gleiches gilt für die Mitglieder des Aufsichtsrats, sofern deren Teilnahme nicht nach § 118 Absatz 3 Satz 2 im Wege der Bild- und Tonübertragung erfolgen darf. </w:t>
      </w:r>
      <w:r>
        <w:rPr>
          <w:rStyle w:val="Satznummer"/>
        </w:rPr>
        <w:t>3</w:t>
      </w:r>
      <w:r>
        <w:t xml:space="preserve">Der Versammlungsleiter und in den Fällen des § 176 Absatz 2 Satz 1 und 2 der Abschlussprüfer haben am Ort der Hauptversammlung teilzunehmen. </w:t>
      </w:r>
      <w:r>
        <w:rPr>
          <w:rStyle w:val="Satznummer"/>
        </w:rPr>
        <w:t>4</w:t>
      </w:r>
      <w:r>
        <w:t xml:space="preserve">Ein von der Gesellschaft nach </w:t>
      </w:r>
      <w:hyperlink w:anchor="b170" w:history="1">
        <w:r>
          <w:rPr>
            <w:color w:val="0A3A8C"/>
            <w:u w:val="single"/>
          </w:rPr>
          <w:t xml:space="preserve">§ 134</w:t>
        </w:r>
      </w:hyperlink>
      <w:r>
        <w:t xml:space="preserve"> Absatz 3 Satz 5 benannter Stimmrechtsvertreter kann am Ort der Hauptversammlung teilnehmen.</w:t>
      </w:r>
    </w:p>
    <w:p>
      <w:r>
        <w:t xml:space="preserve">(3) </w:t>
      </w:r>
      <w:r>
        <w:rPr>
          <w:rStyle w:val="Satznummer"/>
        </w:rPr>
        <w:t>1</w:t>
      </w:r>
      <w:r>
        <w:t xml:space="preserve">Eine Bestimmung in der Satzung nach Absatz 1 Satz 1, die die Abhaltung virtueller Hauptversammlungen vorsieht, muss befristet werden. </w:t>
      </w:r>
      <w:r>
        <w:rPr>
          <w:rStyle w:val="Satznummer"/>
        </w:rPr>
        <w:t>2</w:t>
      </w:r>
      <w:r>
        <w:t>Die Abhaltung virtueller Hauptversammlungen darf in einer solchen Bestimmung für einen Zeitraum von längstens fünf Jahren nach Eintragung der Gesellschaft vorgesehen werden.</w:t>
      </w:r>
    </w:p>
    <w:p>
      <w:r>
        <w:t xml:space="preserve">(4) </w:t>
      </w:r>
      <w:r>
        <w:rPr>
          <w:rStyle w:val="Satznummer"/>
        </w:rPr>
        <w:t>1</w:t>
      </w:r>
      <w:r>
        <w:t xml:space="preserve">Eine Ermächtigung des Vorstands durch die Satzung nach Absatz 1 Satz 1, die Abhaltung virtueller Hauptversammlungen vorzusehen, muss befristet werden. </w:t>
      </w:r>
      <w:r>
        <w:rPr>
          <w:rStyle w:val="Satznummer"/>
        </w:rPr>
        <w:t>2</w:t>
      </w:r>
      <w:r>
        <w:t>Sie kann für einen Zeitraum von längstens fünf Jahren nach Eintragung der Gesellschaft erteilt werden.</w:t>
      </w:r>
    </w:p>
    <w:p>
      <w:r>
        <w:t>(5) Werden nach Absatz 1 Satz 1 getroffene Bestimmungen oder Ermächtigungen durch Satzungsänderung geschaffen,</w:t>
      </w:r>
    </w:p>
    <w:p>
      <w:pPr>
        <w:tabs>
          <w:tab w:pos="567" w:val="left"/>
        </w:tabs>
        <w:ind w:left="567" w:hanging="567"/>
      </w:pPr>
      <w:r>
        <w:t>1.</w:t>
      </w:r>
      <w:r>
        <w:tab/>
      </w:r>
      <w:r>
        <w:t>darf die Bestimmung die Abhaltung virtueller Hauptversammlungen bis zu einem Zeitraum von längstens fünf Jahren nach Eintragung der Satzungsänderung vorsehen und</w:t>
      </w:r>
    </w:p>
    <w:p>
      <w:pPr>
        <w:tabs>
          <w:tab w:pos="567" w:val="left"/>
        </w:tabs>
        <w:ind w:left="567" w:hanging="567"/>
      </w:pPr>
      <w:r>
        <w:t>2.</w:t>
      </w:r>
      <w:r>
        <w:tab/>
      </w:r>
      <w:r>
        <w:t>kann die Ermächtigung des Vorstands für einen Zeitraum von längstens fünf Jahren nach Eintragung der Satzungsänderung erteilt werden.</w:t>
      </w:r>
    </w:p>
    <w:p>
      <w:r>
        <w:t>(6) Bestimmt dieses oder ein anderes Gesetz, dass Unterlagen in der Hauptversammlung zugänglich zu machen sind, so sind die Unterlagen den der Hauptversammlung elektronisch zugeschalteten Aktionären während des Zeitraums der Versammlung über die Internetseite der Gesellschaft oder eine über diese zugängliche Internetseite eines Dritten zugänglich zu machen.</w:t>
      </w:r>
    </w:p>
    <w:p>
      <w:pPr>
        <w:pStyle w:val="Heading5"/>
      </w:pPr>
      <w:bookmarkStart w:id="149" w:name="b148"/>
      <w:r>
        <w:t>§ 119 Rechte der Hauptversammlung</w:t>
      </w:r>
      <w:r>
        <w:t xml:space="preserve"> </w:t>
      </w:r>
      <w:r>
        <w:rPr>
          <w:rStyle w:val="Suchmarke"/>
        </w:rPr>
        <w:t>#119#</w:t>
      </w:r>
      <w:bookmarkEnd w:id="149"/>
    </w:p>
    <w:p>
      <w:r>
        <w:t>(1) Die Hauptversammlung beschließt in den im Gesetz und in der Satzung ausdrücklich bestimmten Fällen, namentlich über</w:t>
      </w:r>
    </w:p>
    <w:p>
      <w:pPr>
        <w:tabs>
          <w:tab w:pos="567" w:val="left"/>
        </w:tabs>
        <w:ind w:left="567" w:hanging="567"/>
      </w:pPr>
      <w:r>
        <w:t>1.</w:t>
      </w:r>
      <w:r>
        <w:tab/>
      </w:r>
      <w:r>
        <w:t>die Bestellung der Mitglieder des Aufsichtsrats, soweit sie nicht in den Aufsichtsrat zu entsenden oder als Aufsichtsratsmitglieder der Arbeitnehmer nach dem Mitbestimmungsgesetz, dem Mitbestimmungsergänzungsgesetz, dem Drittelbeteiligungsgesetz, dem Gesetz über die Mitbestimmung der Arbeitnehmer bei einer grenzüberschreitenden Verschmelzung oder dem Gesetz über die Mitbestimmung der Arbeitnehmer bei grenzüberschreitendem Formwechsel und grenzüberschreitender Spaltung zu wählen sind;</w:t>
      </w:r>
    </w:p>
    <w:p>
      <w:pPr>
        <w:tabs>
          <w:tab w:pos="567" w:val="left"/>
        </w:tabs>
        <w:ind w:left="567" w:hanging="567"/>
      </w:pPr>
      <w:r>
        <w:t>2.</w:t>
      </w:r>
      <w:r>
        <w:tab/>
      </w:r>
      <w:r>
        <w:t>die Verwendung des Bilanzgewinns;</w:t>
      </w:r>
    </w:p>
    <w:p>
      <w:pPr>
        <w:tabs>
          <w:tab w:pos="567" w:val="left"/>
        </w:tabs>
        <w:ind w:left="567" w:hanging="567"/>
      </w:pPr>
      <w:r>
        <w:t>3.</w:t>
      </w:r>
      <w:r>
        <w:tab/>
      </w:r>
      <w:r>
        <w:t>das Vergütungssystem und den Vergütungsbericht für Mitglieder des Vorstands und des Aufsichtsrats der börsennotierten Gesellschaft;</w:t>
      </w:r>
    </w:p>
    <w:p>
      <w:pPr>
        <w:tabs>
          <w:tab w:pos="567" w:val="left"/>
        </w:tabs>
        <w:ind w:left="567" w:hanging="567"/>
      </w:pPr>
      <w:r>
        <w:t>4.</w:t>
      </w:r>
      <w:r>
        <w:tab/>
      </w:r>
      <w:r>
        <w:t>die Entlastung der Mitglieder des Vorstands und des Aufsichtsrats;</w:t>
      </w:r>
    </w:p>
    <w:p>
      <w:pPr>
        <w:tabs>
          <w:tab w:pos="567" w:val="left"/>
        </w:tabs>
        <w:ind w:left="567" w:hanging="567"/>
      </w:pPr>
      <w:r>
        <w:t>5.</w:t>
      </w:r>
      <w:r>
        <w:tab/>
      </w:r>
      <w:r>
        <w:t>die Bestellung des Abschlußprüfers;</w:t>
      </w:r>
    </w:p>
    <w:p>
      <w:pPr>
        <w:tabs>
          <w:tab w:pos="567" w:val="left"/>
        </w:tabs>
        <w:ind w:left="567" w:hanging="567"/>
      </w:pPr>
      <w:r>
        <w:t>6.</w:t>
      </w:r>
      <w:r>
        <w:tab/>
      </w:r>
      <w:r>
        <w:t>Satzungsänderungen;</w:t>
      </w:r>
    </w:p>
    <w:p>
      <w:pPr>
        <w:tabs>
          <w:tab w:pos="567" w:val="left"/>
        </w:tabs>
        <w:ind w:left="567" w:hanging="567"/>
      </w:pPr>
      <w:r>
        <w:t>7.</w:t>
      </w:r>
      <w:r>
        <w:tab/>
      </w:r>
      <w:r>
        <w:t>Maßnahmen der Kapitalbeschaffung und der Kapitalherabsetzung;</w:t>
      </w:r>
    </w:p>
    <w:p>
      <w:pPr>
        <w:tabs>
          <w:tab w:pos="567" w:val="left"/>
        </w:tabs>
        <w:ind w:left="567" w:hanging="567"/>
      </w:pPr>
      <w:r>
        <w:t>8.</w:t>
      </w:r>
      <w:r>
        <w:tab/>
      </w:r>
      <w:r>
        <w:t>die Bestellung von Prüfern zur Prüfung von Vorgängen bei der Gründung oder der Geschäftsführung;</w:t>
      </w:r>
    </w:p>
    <w:p>
      <w:pPr>
        <w:tabs>
          <w:tab w:pos="567" w:val="left"/>
        </w:tabs>
        <w:ind w:left="567" w:hanging="567"/>
      </w:pPr>
      <w:r>
        <w:t>9.</w:t>
      </w:r>
      <w:r>
        <w:tab/>
      </w:r>
      <w:r>
        <w:t>die Auflösung der Gesellschaft.</w:t>
      </w:r>
    </w:p>
    <w:p>
      <w:r>
        <w:t>(2) Über Fragen der Geschäftsführung kann die Hauptversammlung nur entscheiden, wenn der Vorstand es verlangt.</w:t>
      </w:r>
    </w:p>
    <w:p>
      <w:pPr>
        <w:pStyle w:val="Heading5"/>
      </w:pPr>
      <w:bookmarkStart w:id="150" w:name="b149"/>
      <w:r>
        <w:t>§ 120 Entlastung</w:t>
      </w:r>
      <w:r>
        <w:t xml:space="preserve"> </w:t>
      </w:r>
      <w:r>
        <w:rPr>
          <w:rStyle w:val="Suchmarke"/>
        </w:rPr>
        <w:t>#120#</w:t>
      </w:r>
      <w:bookmarkEnd w:id="150"/>
    </w:p>
    <w:p>
      <w:r>
        <w:t xml:space="preserve">(1) </w:t>
      </w:r>
      <w:r>
        <w:rPr>
          <w:rStyle w:val="Satznummer"/>
        </w:rPr>
        <w:t>1</w:t>
      </w:r>
      <w:r>
        <w:t xml:space="preserve">Die Hauptversammlung beschließt alljährlich in den ersten acht Monaten des Geschäftsjahrs über die Entlastung der Mitglieder des Vorstands und über die Entlastung der Mitglieder des Aufsichtsrats. </w:t>
      </w:r>
      <w:r>
        <w:rPr>
          <w:rStyle w:val="Satznummer"/>
        </w:rPr>
        <w:t>2</w:t>
      </w:r>
      <w:r>
        <w:t>Über die Entlastung eines einzelnen Mitglieds ist gesondert abzustimmen, wenn die Hauptversammlung es beschließt oder eine Minderheit es verlangt, deren Anteile zusammen den zehnten Teil des Grundkapitals oder den anteiligen Betrag von einer Million Euro erreichen.</w:t>
      </w:r>
    </w:p>
    <w:p>
      <w:r>
        <w:t xml:space="preserve">(2) </w:t>
      </w:r>
      <w:r>
        <w:rPr>
          <w:rStyle w:val="Satznummer"/>
        </w:rPr>
        <w:t>1</w:t>
      </w:r>
      <w:r>
        <w:t xml:space="preserve">Durch die Entlastung billigt die Hauptversammlung die Verwaltung der Gesellschaft durch die Mitglieder des Vorstands und des Aufsichtsrats. </w:t>
      </w:r>
      <w:r>
        <w:rPr>
          <w:rStyle w:val="Satznummer"/>
        </w:rPr>
        <w:t>2</w:t>
      </w:r>
      <w:r>
        <w:t>Die Entlastung enthält keinen Verzicht auf Ersatzansprüche.</w:t>
      </w:r>
    </w:p>
    <w:p>
      <w:r>
        <w:t>(3) Die Verhandlung über die Entlastung soll mit der Verhandlung über die Verwendung des Bilanzgewinns verbunden werden.</w:t>
      </w:r>
    </w:p>
    <w:p>
      <w:r>
        <w:t>(4) (weggefallen)</w:t>
      </w:r>
    </w:p>
    <w:p>
      <w:pPr>
        <w:pStyle w:val="Heading5"/>
      </w:pPr>
      <w:bookmarkStart w:id="151" w:name="b150"/>
      <w:r>
        <w:t>§ 120a Votum zum Vergütungssystem und zum Vergütungsbericht</w:t>
      </w:r>
      <w:r>
        <w:t xml:space="preserve"> </w:t>
      </w:r>
      <w:r>
        <w:rPr>
          <w:rStyle w:val="Suchmarke"/>
        </w:rPr>
        <w:t>#120a#</w:t>
      </w:r>
      <w:bookmarkEnd w:id="151"/>
    </w:p>
    <w:p>
      <w:r>
        <w:t xml:space="preserve">(1) </w:t>
      </w:r>
      <w:r>
        <w:rPr>
          <w:rStyle w:val="Satznummer"/>
        </w:rPr>
        <w:t>1</w:t>
      </w:r>
      <w:r>
        <w:t xml:space="preserve">Die Hauptversammlung der börsennotierten Gesellschaft beschließt über die Billigung des vom Aufsichtsrat vorgelegten Vergütungssystems für die Vorstandsmitglieder bei jeder wesentlichen Änderung des Vergütungssystems, mindestens jedoch alle vier Jahre. </w:t>
      </w:r>
      <w:r>
        <w:rPr>
          <w:rStyle w:val="Satznummer"/>
        </w:rPr>
        <w:t>2</w:t>
      </w:r>
      <w:r>
        <w:t xml:space="preserve">Der Beschluss begründet weder Rechte noch Pflichten. </w:t>
      </w:r>
      <w:r>
        <w:rPr>
          <w:rStyle w:val="Satznummer"/>
        </w:rPr>
        <w:t>3</w:t>
      </w:r>
      <w:r>
        <w:t xml:space="preserve">Er ist nicht nach </w:t>
      </w:r>
      <w:hyperlink w:anchor="b306" w:history="1">
        <w:r>
          <w:rPr>
            <w:color w:val="0A3A8C"/>
            <w:u w:val="single"/>
          </w:rPr>
          <w:t xml:space="preserve">§ 243</w:t>
        </w:r>
      </w:hyperlink>
      <w:r>
        <w:t xml:space="preserve"> anfechtbar. </w:t>
      </w:r>
      <w:r>
        <w:rPr>
          <w:rStyle w:val="Satznummer"/>
        </w:rPr>
        <w:t>4</w:t>
      </w:r>
      <w:r>
        <w:t>Ein das Vergütungssystem bestätigender Beschluss ist zulässig.</w:t>
      </w:r>
    </w:p>
    <w:p>
      <w:r>
        <w:t>(2) Beschluss und Vergütungssystem sind unverzüglich auf der Internetseite der Gesellschaft zu veröffentlichen und für die Dauer der Gültigkeit des Vergütungssystems, mindestens jedoch für zehn Jahre, kostenfrei öffentlich zugänglich zu halten.</w:t>
      </w:r>
    </w:p>
    <w:p>
      <w:r>
        <w:t>(3) Hat die Hauptversammlung das Vergütungssystem nicht gebilligt, so ist spätestens in der darauf folgenden ordentlichen Hauptversammlung ein überprüftes Vergütungssystem zum Beschluss vorzulegen.</w:t>
      </w:r>
    </w:p>
    <w:p>
      <w:r>
        <w:t xml:space="preserve">(4) </w:t>
      </w:r>
      <w:r>
        <w:rPr>
          <w:rStyle w:val="Satznummer"/>
        </w:rPr>
        <w:t>1</w:t>
      </w:r>
      <w:r>
        <w:t xml:space="preserve">Die Hauptversammlung der börsennotierten Gesellschaft beschließt über die Billigung des nach </w:t>
      </w:r>
      <w:hyperlink w:anchor="b205" w:history="1">
        <w:r>
          <w:rPr>
            <w:color w:val="0A3A8C"/>
            <w:u w:val="single"/>
          </w:rPr>
          <w:t xml:space="preserve">§ 162</w:t>
        </w:r>
      </w:hyperlink>
      <w:r>
        <w:t xml:space="preserve"> erstellten und geprüften Vergütungsberichts für das vorausgegangene Geschäftsjahr. </w:t>
      </w:r>
      <w:r>
        <w:rPr>
          <w:rStyle w:val="Satznummer"/>
        </w:rPr>
        <w:t>2</w:t>
      </w:r>
      <w:r>
        <w:t>Absatz 1 Satz 2 und 3 ist anzuwenden.</w:t>
      </w:r>
    </w:p>
    <w:p>
      <w:r>
        <w:t>(5) Bei börsennotierten kleinen und mittelgroßen Gesellschaften im Sinne des § 267 Absatz 1 und 2 des Handelsgesetzbuchs bedarf es keiner Beschlussfassung nach Absatz 4, wenn der Vergütungsbericht des letzten Geschäftsjahres als eigener Tagesordnungspunkt in der Hauptversammlung zur Erörterung vorgelegt wird.</w:t>
      </w:r>
    </w:p>
    <w:p>
      <w:pPr>
        <w:pStyle w:val="Heading4"/>
      </w:pPr>
      <w:bookmarkStart w:id="152" w:name="b151"/>
      <w:r>
        <w:t>Zweiter Unterabschnitt Einberufung der Hauptversammlung</w:t>
      </w:r>
      <w:bookmarkEnd w:id="152"/>
    </w:p>
    <w:p>
      <w:pPr>
        <w:pStyle w:val="Heading5"/>
      </w:pPr>
      <w:bookmarkStart w:id="153" w:name="b152"/>
      <w:r>
        <w:t>§ 121 Allgemeines</w:t>
      </w:r>
      <w:r>
        <w:t xml:space="preserve"> </w:t>
      </w:r>
      <w:r>
        <w:rPr>
          <w:rStyle w:val="Suchmarke"/>
        </w:rPr>
        <w:t>#121#</w:t>
      </w:r>
      <w:bookmarkEnd w:id="153"/>
    </w:p>
    <w:p>
      <w:r>
        <w:t>(1) Die Hauptversammlung ist in den durch Gesetz oder Satzung bestimmten Fällen sowie dann einzuberufen, wenn das Wohl der Gesellschaft es fordert.</w:t>
      </w:r>
    </w:p>
    <w:p>
      <w:r>
        <w:t xml:space="preserve">(2) </w:t>
      </w:r>
      <w:r>
        <w:rPr>
          <w:rStyle w:val="Satznummer"/>
        </w:rPr>
        <w:t>1</w:t>
      </w:r>
      <w:r>
        <w:t xml:space="preserve">Die Hauptversammlung wird durch den Vorstand einberufen, der darüber mit einfacher Mehrheit beschließt. </w:t>
      </w:r>
      <w:r>
        <w:rPr>
          <w:rStyle w:val="Satznummer"/>
        </w:rPr>
        <w:t>2</w:t>
      </w:r>
      <w:r>
        <w:t xml:space="preserve">Personen, die in das Handelsregister als Vorstand eingetragen sind, gelten als befugt. </w:t>
      </w:r>
      <w:r>
        <w:rPr>
          <w:rStyle w:val="Satznummer"/>
        </w:rPr>
        <w:t>3</w:t>
      </w:r>
      <w:r>
        <w:t>Das auf Gesetz oder Satzung beruhende Recht anderer Personen, die Hauptversammlung einzuberufen, bleibt unberührt.</w:t>
      </w:r>
    </w:p>
    <w:p>
      <w:r>
        <w:t xml:space="preserve">(3) </w:t>
      </w:r>
      <w:r>
        <w:rPr>
          <w:rStyle w:val="Satznummer"/>
        </w:rPr>
        <w:t>1</w:t>
      </w:r>
      <w:r>
        <w:t xml:space="preserve">Die Einberufung muss die Firma, den Sitz der Gesellschaft sowie Zeit und Ort der Hauptversammlung enthalten. </w:t>
      </w:r>
      <w:r>
        <w:rPr>
          <w:rStyle w:val="Satznummer"/>
        </w:rPr>
        <w:t>2</w:t>
      </w:r>
      <w:r>
        <w:t xml:space="preserve">Zudem ist die Tagesordnung anzugeben. </w:t>
      </w:r>
      <w:r>
        <w:rPr>
          <w:rStyle w:val="Satznummer"/>
        </w:rPr>
        <w:t>3</w:t>
      </w:r>
      <w:r>
        <w:t>Bei börsennotierten Gesellschaften hat der Vorstand oder, wenn der Aufsichtsrat die Versammlung einberuft, der Aufsichtsrat in der Einberufung ferner anzugeben:</w:t>
      </w:r>
    </w:p>
    <w:p>
      <w:pPr>
        <w:tabs>
          <w:tab w:pos="567" w:val="left"/>
        </w:tabs>
        <w:ind w:left="567" w:hanging="567"/>
      </w:pPr>
      <w:r>
        <w:t>1.</w:t>
      </w:r>
      <w:r>
        <w:tab/>
      </w:r>
      <w:r>
        <w:t xml:space="preserve">die Voraussetzungen für die Teilnahme an der Versammlung und die Ausübung des Stimmrechts sowie gegebenenfalls den Nachweisstichtag nach </w:t>
      </w:r>
      <w:hyperlink w:anchor="b154" w:history="1">
        <w:r>
          <w:rPr>
            <w:color w:val="0A3A8C"/>
            <w:u w:val="single"/>
          </w:rPr>
          <w:t xml:space="preserve">§ 123</w:t>
        </w:r>
      </w:hyperlink>
      <w:r>
        <w:t xml:space="preserve"> Absatz 4 Satz 2 und dessen Bedeutung;</w:t>
      </w:r>
    </w:p>
    <w:p>
      <w:pPr>
        <w:tabs>
          <w:tab w:pos="567" w:val="left"/>
        </w:tabs>
        <w:ind w:left="567" w:hanging="567"/>
      </w:pPr>
      <w:r>
        <w:t>2.</w:t>
      </w:r>
      <w:r>
        <w:tab/>
      </w:r>
      <w:r>
        <w:t>das Verfahren für die Stimmabgabe</w:t>
      </w:r>
    </w:p>
    <w:p>
      <w:pPr>
        <w:tabs>
          <w:tab w:pos="1134" w:val="left"/>
        </w:tabs>
        <w:ind w:left="1134" w:hanging="567"/>
      </w:pPr>
      <w:r>
        <w:t>a)</w:t>
      </w:r>
      <w:r>
        <w:tab/>
      </w:r>
      <w:r>
        <w:t>durch einen Bevollmächtigten unter Hinweis auf die Formulare, die für die Erteilung einer Stimmrechtsvollmacht zu verwenden sind, und auf die Art und Weise, wie der Gesellschaft ein Nachweis über die Bestellung eines Bevollmächtigten elektronisch übermittelt werden kann sowie</w:t>
      </w:r>
    </w:p>
    <w:p>
      <w:pPr>
        <w:tabs>
          <w:tab w:pos="1134" w:val="left"/>
        </w:tabs>
        <w:ind w:left="1134" w:hanging="567"/>
      </w:pPr>
      <w:r>
        <w:t>b)</w:t>
      </w:r>
      <w:r>
        <w:tab/>
      </w:r>
      <w:r>
        <w:t xml:space="preserve">durch Briefwahl oder im Wege der elektronischen Kommunikation gemäß </w:t>
      </w:r>
      <w:hyperlink w:anchor="b146" w:history="1">
        <w:r>
          <w:rPr>
            <w:color w:val="0A3A8C"/>
            <w:u w:val="single"/>
          </w:rPr>
          <w:t xml:space="preserve">§ 118</w:t>
        </w:r>
      </w:hyperlink>
      <w:r>
        <w:t xml:space="preserve"> Abs. 1 Satz 2, soweit die Satzung eine entsprechende Form der Stimmrechtsausübung vorsieht;</w:t>
      </w:r>
    </w:p>
    <w:p>
      <w:pPr>
        <w:tabs>
          <w:tab w:pos="567" w:val="left"/>
        </w:tabs>
        <w:ind w:left="567" w:hanging="567"/>
      </w:pPr>
      <w:r>
        <w:t>3.</w:t>
      </w:r>
      <w:r>
        <w:tab/>
      </w:r>
      <w:r>
        <w:t xml:space="preserve">die Rechte der Aktionäre nach </w:t>
      </w:r>
      <w:hyperlink w:anchor="b153" w:history="1">
        <w:r>
          <w:rPr>
            <w:color w:val="0A3A8C"/>
            <w:u w:val="single"/>
          </w:rPr>
          <w:t xml:space="preserve">§ 122</w:t>
        </w:r>
      </w:hyperlink>
      <w:r>
        <w:t xml:space="preserve"> Abs. 2, </w:t>
      </w:r>
      <w:hyperlink w:anchor="b158" w:history="1">
        <w:r>
          <w:rPr>
            <w:color w:val="0A3A8C"/>
            <w:u w:val="single"/>
          </w:rPr>
          <w:t xml:space="preserve">§ 126</w:t>
        </w:r>
      </w:hyperlink>
      <w:r>
        <w:t xml:space="preserve"> Abs. 1, den </w:t>
      </w:r>
      <w:hyperlink w:anchor="b159" w:history="1">
        <w:r>
          <w:rPr>
            <w:color w:val="0A3A8C"/>
            <w:u w:val="single"/>
          </w:rPr>
          <w:t xml:space="preserve">§§ 127</w:t>
        </w:r>
      </w:hyperlink>
      <w:r>
        <w:t xml:space="preserve">, </w:t>
      </w:r>
      <w:hyperlink w:anchor="b166" w:history="1">
        <w:r>
          <w:rPr>
            <w:color w:val="0A3A8C"/>
            <w:u w:val="single"/>
          </w:rPr>
          <w:t xml:space="preserve">131</w:t>
        </w:r>
      </w:hyperlink>
      <w:r>
        <w:t xml:space="preserve"> Abs. 1; die Angaben können sich auf die Fristen für die Ausübung der Rechte beschränken, wenn in der Einberufung im Übrigen auf weitergehende Erläuterungen auf der Internetseite der Gesellschaft hingewiesen wird;</w:t>
      </w:r>
    </w:p>
    <w:p>
      <w:pPr>
        <w:tabs>
          <w:tab w:pos="567" w:val="left"/>
        </w:tabs>
        <w:ind w:left="567" w:hanging="567"/>
      </w:pPr>
      <w:r>
        <w:t>4.</w:t>
      </w:r>
      <w:r>
        <w:tab/>
      </w:r>
      <w:r>
        <w:t xml:space="preserve">die Internetseite der Gesellschaft, über die die Informationen nach </w:t>
      </w:r>
      <w:hyperlink w:anchor="b156" w:history="1">
        <w:r>
          <w:rPr>
            <w:color w:val="0A3A8C"/>
            <w:u w:val="single"/>
          </w:rPr>
          <w:t xml:space="preserve">§ 124a</w:t>
        </w:r>
      </w:hyperlink>
      <w:r>
        <w:t xml:space="preserve"> zugänglich sind.</w:t>
      </w:r>
    </w:p>
    <w:p>
      <w:r>
        <w:t xml:space="preserve">(4) </w:t>
      </w:r>
      <w:r>
        <w:rPr>
          <w:rStyle w:val="Satznummer"/>
        </w:rPr>
        <w:t>1</w:t>
      </w:r>
      <w:r>
        <w:t xml:space="preserve">Die Einberufung ist in den Gesellschaftsblättern bekannt zu machen. </w:t>
      </w:r>
      <w:r>
        <w:rPr>
          <w:rStyle w:val="Satznummer"/>
        </w:rPr>
        <w:t>2</w:t>
      </w:r>
      <w:r>
        <w:t xml:space="preserve">Sind die Aktionäre der Gesellschaft namentlich bekannt, so kann die Hauptversammlung mit eingeschriebenem Brief einberufen werden, wenn die Satzung nichts anderes bestimmt; der Tag der Absendung gilt als Tag der Bekanntmachung. </w:t>
      </w:r>
      <w:r>
        <w:rPr>
          <w:rStyle w:val="Satznummer"/>
        </w:rPr>
        <w:t>3</w:t>
      </w:r>
      <w:r>
        <w:t>Die Mitteilung an die im Aktienregister Eingetragenen genügt.</w:t>
      </w:r>
    </w:p>
    <w:p>
      <w:r>
        <w:t>(4a) Bei börsennotierten Gesellschaften, die nicht ausschließlich Namensaktien ausgegeben haben oder welche die Einberufung den Aktionären nicht unmittelbar nach Absatz 4 Satz 2 übersenden, ist die Einberufung spätestens zum Zeitpunkt der Bekanntmachung solchen Medien zur Veröffentlichung zuzuleiten, bei denen davon ausgegangen werden kann, dass sie die Information in der gesamten Europäischen Union verbreiten.</w:t>
      </w:r>
    </w:p>
    <w:p>
      <w:r>
        <w:t xml:space="preserve">(4b) </w:t>
      </w:r>
      <w:r>
        <w:rPr>
          <w:rStyle w:val="Satznummer"/>
        </w:rPr>
        <w:t>1</w:t>
      </w:r>
      <w:r>
        <w:t xml:space="preserve">Im Fall der virtuellen Hauptversammlung muss die Einberufung auch angeben, wie sich Aktionäre und ihre Bevollmächtigten elektronisch zur Versammlung zuschalten können. </w:t>
      </w:r>
      <w:r>
        <w:rPr>
          <w:rStyle w:val="Satznummer"/>
        </w:rPr>
        <w:t>2</w:t>
      </w:r>
      <w:r>
        <w:t xml:space="preserve">Zusätzlich ist in der Einberufung darauf hinzuweisen, dass eine physische Präsenz der Aktionäre und ihrer Bevollmächtigten am Ort der Hauptversammlung ausgeschlossen ist. </w:t>
      </w:r>
      <w:r>
        <w:rPr>
          <w:rStyle w:val="Satznummer"/>
        </w:rPr>
        <w:t>3</w:t>
      </w:r>
      <w:r>
        <w:t xml:space="preserve">Bei börsennotierten Gesellschaften ist im Fall der virtuellen Hauptversammlung abweichend von Absatz 3 Satz 3 Nummer 2 Buchstabe b das Verfahren für die Stimmabgabe im Wege elektronischer Kommunikation anzugeben. </w:t>
      </w:r>
      <w:r>
        <w:rPr>
          <w:rStyle w:val="Satznummer"/>
        </w:rPr>
        <w:t>4</w:t>
      </w:r>
      <w:r>
        <w:t xml:space="preserve">Zudem ist bei diesen Gesellschaften zusätzlich auf </w:t>
      </w:r>
      <w:hyperlink w:anchor="b158" w:history="1">
        <w:r>
          <w:rPr>
            <w:color w:val="0A3A8C"/>
            <w:u w:val="single"/>
          </w:rPr>
          <w:t xml:space="preserve">§ 126</w:t>
        </w:r>
      </w:hyperlink>
      <w:r>
        <w:t xml:space="preserve"> Absatz 4 und, falls der Vorstand von der Möglichkeit des § 131 Absatz 1a Satz 1 Gebrauch macht, auf </w:t>
      </w:r>
      <w:hyperlink w:anchor="b166" w:history="1">
        <w:r>
          <w:rPr>
            <w:color w:val="0A3A8C"/>
            <w:u w:val="single"/>
          </w:rPr>
          <w:t xml:space="preserve">§ 131</w:t>
        </w:r>
      </w:hyperlink>
      <w:r>
        <w:t xml:space="preserve"> Absatz 1a bis 1f hinzuweisen sowie darauf, dass der Bericht des Vorstands oder dessen wesentlicher Inhalt nach </w:t>
      </w:r>
      <w:hyperlink w:anchor="b147" w:history="1">
        <w:r>
          <w:rPr>
            <w:color w:val="0A3A8C"/>
            <w:u w:val="single"/>
          </w:rPr>
          <w:t xml:space="preserve">§ 118a</w:t>
        </w:r>
      </w:hyperlink>
      <w:r>
        <w:t xml:space="preserve"> Absatz 1 Satz 2 Nummer 5 zugänglich gemacht wird.</w:t>
      </w:r>
    </w:p>
    <w:p>
      <w:r>
        <w:t xml:space="preserve">(5) </w:t>
      </w:r>
      <w:r>
        <w:rPr>
          <w:rStyle w:val="Satznummer"/>
        </w:rPr>
        <w:t>1</w:t>
      </w:r>
      <w:r>
        <w:t xml:space="preserve">Wenn die Satzung nichts anderes bestimmt, soll die Hauptversammlung am Sitz der Gesellschaft stattfinden. </w:t>
      </w:r>
      <w:r>
        <w:rPr>
          <w:rStyle w:val="Satznummer"/>
        </w:rPr>
        <w:t>2</w:t>
      </w:r>
      <w:r>
        <w:t xml:space="preserve">Sind die Aktien der Gesellschaft an einer deutschen Börse zum Handel im regulierten Markt zugelassen, so kann, wenn die Satzung nichts anderes bestimmt, die Hauptversammlung auch am Sitz der Börse stattfinden. </w:t>
      </w:r>
      <w:r>
        <w:rPr>
          <w:rStyle w:val="Satznummer"/>
        </w:rPr>
        <w:t>3</w:t>
      </w:r>
      <w:r>
        <w:t>Im Fall der virtuellen Hauptversammlung finden die Sätze 1 und 2 keine Anwendung.</w:t>
      </w:r>
    </w:p>
    <w:p>
      <w:r>
        <w:t>(6) Sind alle Aktionäre erschienen oder vertreten, kann die Hauptversammlung Beschlüsse ohne Einhaltung der Bestimmungen dieses Unterabschnitts fassen, soweit kein Aktionär der Beschlußfassung widerspricht.</w:t>
      </w:r>
    </w:p>
    <w:p>
      <w:r>
        <w:t xml:space="preserve">(7) </w:t>
      </w:r>
      <w:r>
        <w:rPr>
          <w:rStyle w:val="Satznummer"/>
        </w:rPr>
        <w:t>1</w:t>
      </w:r>
      <w:r>
        <w:t xml:space="preserve">Bei Fristen und Terminen, die von der Versammlung zurückberechnet werden, ist der Tag der Versammlung nicht mitzurechnen. </w:t>
      </w:r>
      <w:r>
        <w:rPr>
          <w:rStyle w:val="Satznummer"/>
        </w:rPr>
        <w:t>2</w:t>
      </w:r>
      <w:r>
        <w:t xml:space="preserve">Eine Verlegung von einem Sonntag, einem Sonnabend oder einem Feiertag auf einen zeitlich vorausgehenden oder nachfolgenden Werktag kommt nicht in Betracht. </w:t>
      </w:r>
      <w:r>
        <w:rPr>
          <w:rStyle w:val="Satznummer"/>
        </w:rPr>
        <w:t>3</w:t>
      </w:r>
      <w:r>
        <w:t xml:space="preserve">Die §§ 187 bis 193 des Bürgerlichen Gesetzbuchs sind nicht entsprechend anzuwenden. </w:t>
      </w:r>
      <w:r>
        <w:rPr>
          <w:rStyle w:val="Satznummer"/>
        </w:rPr>
        <w:t>4</w:t>
      </w:r>
      <w:r>
        <w:t>Bei nichtbörsennotierten Gesellschaften kann die Satzung eine andere Berechnung der Frist bestimmen.</w:t>
      </w:r>
    </w:p>
    <w:p>
      <w:pPr>
        <w:pStyle w:val="Heading5"/>
      </w:pPr>
      <w:bookmarkStart w:id="154" w:name="b153"/>
      <w:r>
        <w:t>§ 122 Einberufung auf Verlangen einer Minderheit</w:t>
      </w:r>
      <w:r>
        <w:t xml:space="preserve"> </w:t>
      </w:r>
      <w:r>
        <w:rPr>
          <w:rStyle w:val="Suchmarke"/>
        </w:rPr>
        <w:t>#122#</w:t>
      </w:r>
      <w:bookmarkEnd w:id="154"/>
    </w:p>
    <w:p>
      <w:r>
        <w:t xml:space="preserve">(1) </w:t>
      </w:r>
      <w:r>
        <w:rPr>
          <w:rStyle w:val="Satznummer"/>
        </w:rPr>
        <w:t>1</w:t>
      </w:r>
      <w:r>
        <w:t xml:space="preserve">Die Hauptversammlung ist einzuberufen, wenn Aktionäre, deren Anteile zusammen den zwanzigsten Teil des Grundkapitals erreichen, die Einberufung schriftlich unter Angabe des Zwecks und der Gründe verlangen; das Verlangen ist an den Vorstand zu richten. </w:t>
      </w:r>
      <w:r>
        <w:rPr>
          <w:rStyle w:val="Satznummer"/>
        </w:rPr>
        <w:t>2</w:t>
      </w:r>
      <w:r>
        <w:t xml:space="preserve">Die Satzung kann das Recht, die Einberufung der Hauptversammlung zu verlangen, an eine andere Form und an den Besitz eines geringeren Anteils am Grundkapital knüpfen. </w:t>
      </w:r>
      <w:r>
        <w:rPr>
          <w:rStyle w:val="Satznummer"/>
        </w:rPr>
        <w:t>3</w:t>
      </w:r>
      <w:r>
        <w:t xml:space="preserve">Die Antragsteller haben nachzuweisen, dass sie seit mindestens 90 Tagen vor dem Tag des Zugangs des Verlangens Inhaber der Aktien sind und dass sie die Aktien bis zur Entscheidung des Vorstands über den Antrag halten. </w:t>
      </w:r>
      <w:r>
        <w:rPr>
          <w:rStyle w:val="Satznummer"/>
        </w:rPr>
        <w:t>4</w:t>
      </w:r>
      <w:hyperlink w:anchor="b152" w:history="1">
        <w:r>
          <w:rPr>
            <w:color w:val="0A3A8C"/>
            <w:u w:val="single"/>
          </w:rPr>
          <w:t xml:space="preserve">§ 121</w:t>
        </w:r>
      </w:hyperlink>
      <w:r>
        <w:t xml:space="preserve"> Absatz 7 ist entsprechend anzuwenden.</w:t>
      </w:r>
    </w:p>
    <w:p>
      <w:r>
        <w:t xml:space="preserve">(2) </w:t>
      </w:r>
      <w:r>
        <w:rPr>
          <w:rStyle w:val="Satznummer"/>
        </w:rPr>
        <w:t>1</w:t>
      </w:r>
      <w:r>
        <w:t xml:space="preserve">In gleicher Weise können Aktionäre, deren Anteile zusammen den zwanzigsten Teil des Grundkapitals oder den anteiligen Betrag von 500 000 Euro erreichen, verlangen, daß Gegenstände auf die Tagesordnung gesetzt und bekanntgemacht werden. </w:t>
      </w:r>
      <w:r>
        <w:rPr>
          <w:rStyle w:val="Satznummer"/>
        </w:rPr>
        <w:t>2</w:t>
      </w:r>
      <w:r>
        <w:t xml:space="preserve">Jedem neuen Gegenstand muss eine Begründung oder eine Beschlussvorlage beiliegen. </w:t>
      </w:r>
      <w:r>
        <w:rPr>
          <w:rStyle w:val="Satznummer"/>
        </w:rPr>
        <w:t>3</w:t>
      </w:r>
      <w:r>
        <w:t>Das Verlangen im Sinne des Satzes 1 muss der Gesellschaft mindestens 24 Tage, bei börsennotierten Gesellschaften mindestens 30 Tage vor der Versammlung zugehen; der Tag des Zugangs ist nicht mitzurechnen.</w:t>
      </w:r>
    </w:p>
    <w:p>
      <w:r>
        <w:t xml:space="preserve">(3) </w:t>
      </w:r>
      <w:r>
        <w:rPr>
          <w:rStyle w:val="Satznummer"/>
        </w:rPr>
        <w:t>1</w:t>
      </w:r>
      <w:r>
        <w:t xml:space="preserve">Wird dem Verlangen nicht entsprochen, so kann das Gericht die Aktionäre, die das Verlangen gestellt haben, ermächtigen, die Hauptversammlung einzuberufen oder den Gegenstand bekanntzumachen. </w:t>
      </w:r>
      <w:r>
        <w:rPr>
          <w:rStyle w:val="Satznummer"/>
        </w:rPr>
        <w:t>2</w:t>
      </w:r>
      <w:r>
        <w:t xml:space="preserve">Zugleich kann das Gericht den Vorsitzenden der Versammlung bestimmen. </w:t>
      </w:r>
      <w:r>
        <w:rPr>
          <w:rStyle w:val="Satznummer"/>
        </w:rPr>
        <w:t>3</w:t>
      </w:r>
      <w:r>
        <w:t xml:space="preserve">Auf die Ermächtigung muß bei der Einberufung oder Bekanntmachung hingewiesen werden. </w:t>
      </w:r>
      <w:r>
        <w:rPr>
          <w:rStyle w:val="Satznummer"/>
        </w:rPr>
        <w:t>4</w:t>
      </w:r>
      <w:r>
        <w:t xml:space="preserve">Gegen die Entscheidung ist die Beschwerde zulässig. </w:t>
      </w:r>
      <w:r>
        <w:rPr>
          <w:rStyle w:val="Satznummer"/>
        </w:rPr>
        <w:t>5</w:t>
      </w:r>
      <w:r>
        <w:t>Die Antragsteller haben nachzuweisen, dass sie die Aktien bis zur Entscheidung des Gerichts halten.</w:t>
      </w:r>
    </w:p>
    <w:p>
      <w:r>
        <w:t>(4) Die Gesellschaft trägt die Kosten der Hauptversammlung und im Fall des Absatzes 3 auch die Gerichtskosten, wenn das Gericht dem Antrag stattgegeben hat.</w:t>
      </w:r>
    </w:p>
    <w:p>
      <w:pPr>
        <w:pStyle w:val="Heading5"/>
      </w:pPr>
      <w:bookmarkStart w:id="155" w:name="b154"/>
      <w:r>
        <w:t>§ 123 Frist, Anmeldung zur Hauptversammlung, Nachweis</w:t>
      </w:r>
      <w:r>
        <w:t xml:space="preserve"> </w:t>
      </w:r>
      <w:r>
        <w:rPr>
          <w:rStyle w:val="Suchmarke"/>
        </w:rPr>
        <w:t>#123#</w:t>
      </w:r>
      <w:bookmarkEnd w:id="155"/>
    </w:p>
    <w:p>
      <w:r>
        <w:t xml:space="preserve">(1) </w:t>
      </w:r>
      <w:r>
        <w:rPr>
          <w:rStyle w:val="Satznummer"/>
        </w:rPr>
        <w:t>1</w:t>
      </w:r>
      <w:r>
        <w:t xml:space="preserve">Die Hauptversammlung ist mindestens dreißig Tage vor dem Tage der Versammlung einzuberufen. </w:t>
      </w:r>
      <w:r>
        <w:rPr>
          <w:rStyle w:val="Satznummer"/>
        </w:rPr>
        <w:t>2</w:t>
      </w:r>
      <w:r>
        <w:t>Der Tag der Einberufung ist nicht mitzurechnen.</w:t>
      </w:r>
    </w:p>
    <w:p>
      <w:r>
        <w:t xml:space="preserve">(2) </w:t>
      </w:r>
      <w:r>
        <w:rPr>
          <w:rStyle w:val="Satznummer"/>
        </w:rPr>
        <w:t>1</w:t>
      </w:r>
      <w:r>
        <w:t xml:space="preserve">Die Satzung kann die Teilnahme an der Hauptversammlung oder die Ausübung des Stimmrechts davon abhängig machen, dass die Aktionäre sich vor der Versammlung anmelden. </w:t>
      </w:r>
      <w:r>
        <w:rPr>
          <w:rStyle w:val="Satznummer"/>
        </w:rPr>
        <w:t>2</w:t>
      </w:r>
      <w:r>
        <w:t xml:space="preserve">Die Anmeldung muss der Gesellschaft unter der in der Einberufung hierfür mitgeteilten Adresse mindestens sechs Tage vor der Versammlung zugehen. </w:t>
      </w:r>
      <w:r>
        <w:rPr>
          <w:rStyle w:val="Satznummer"/>
        </w:rPr>
        <w:t>3</w:t>
      </w:r>
      <w:r>
        <w:t xml:space="preserve">In der Satzung oder in der Einberufung auf Grund einer Ermächtigung durch die Satzung kann eine kürzere, in Tagen zu bemessende Frist vorgesehen werden. </w:t>
      </w:r>
      <w:r>
        <w:rPr>
          <w:rStyle w:val="Satznummer"/>
        </w:rPr>
        <w:t>4</w:t>
      </w:r>
      <w:r>
        <w:t xml:space="preserve">Der Tag des Zugangs ist nicht mitzurechnen. </w:t>
      </w:r>
      <w:r>
        <w:rPr>
          <w:rStyle w:val="Satznummer"/>
        </w:rPr>
        <w:t>5</w:t>
      </w:r>
      <w:r>
        <w:t>Die Mindestfrist des Absatzes 1 verlängert sich um die Tage der Anmeldefrist.</w:t>
      </w:r>
    </w:p>
    <w:p>
      <w:r>
        <w:t>(3) Die Satzung kann bestimmen, wie die Berechtigung zur Teilnahme an der Versammlung oder zur Ausübung des Stimmrechts nachzuweisen ist; Absatz 2 Satz 5 gilt in diesem Fall entsprechend.</w:t>
      </w:r>
    </w:p>
    <w:p>
      <w:r>
        <w:t xml:space="preserve">(4) </w:t>
      </w:r>
      <w:r>
        <w:rPr>
          <w:rStyle w:val="Satznummer"/>
        </w:rPr>
        <w:t>1</w:t>
      </w:r>
      <w:r>
        <w:t xml:space="preserve">Bei Inhaberaktien börsennotierter Gesellschaften reicht ein Nachweis gemäß § 67c Absatz 3 aus. </w:t>
      </w:r>
      <w:r>
        <w:rPr>
          <w:rStyle w:val="Satznummer"/>
        </w:rPr>
        <w:t>2</w:t>
      </w:r>
      <w:r>
        <w:t xml:space="preserve">Der Nachweis des Anteilsbesitzes nach </w:t>
      </w:r>
      <w:hyperlink w:anchor="b77" w:history="1">
        <w:r>
          <w:rPr>
            <w:color w:val="0A3A8C"/>
            <w:u w:val="single"/>
          </w:rPr>
          <w:t xml:space="preserve">§ 67c</w:t>
        </w:r>
      </w:hyperlink>
      <w:r>
        <w:t xml:space="preserve"> Absatz 3 hat sich bei börsennotierten Gesellschaften auf den Geschäftsschluss des 22. Tages vor der Versammlung zu beziehen und muss der Gesellschaft unter der in der Einberufung hierfür mitgeteilten Adresse mindestens sechs Tage vor der Versammlung zugehen. </w:t>
      </w:r>
      <w:r>
        <w:rPr>
          <w:rStyle w:val="Satznummer"/>
        </w:rPr>
        <w:t>3</w:t>
      </w:r>
      <w:r>
        <w:t xml:space="preserve">In der Satzung oder in der Einberufung auf Grund einer Ermächtigung durch die Satzung kann eine kürzere, in Tagen zu bemessende Frist vorgesehen werden. </w:t>
      </w:r>
      <w:r>
        <w:rPr>
          <w:rStyle w:val="Satznummer"/>
        </w:rPr>
        <w:t>4</w:t>
      </w:r>
      <w:r>
        <w:t xml:space="preserve">Der Tag des Zugangs ist nicht mitzurechnen. </w:t>
      </w:r>
      <w:r>
        <w:rPr>
          <w:rStyle w:val="Satznummer"/>
        </w:rPr>
        <w:t>5</w:t>
      </w:r>
      <w:r>
        <w:t>Im Verhältnis zur Gesellschaft gilt für die Teilnahme an der Versammlung oder für die Ausübung des Stimmrechts als Aktionär nur, wer den Nachweis erbracht hat.</w:t>
      </w:r>
    </w:p>
    <w:p>
      <w:r>
        <w:t>(5) Bei Namensaktien börsennotierter Gesellschaften folgt die Berechtigung zur Teilnahme an der Versammlung oder zur Ausübung des Stimmrechts gemäß § 67 Absatz 2 Satz 1 aus der Eintragung im Aktienregister.</w:t>
      </w:r>
    </w:p>
    <w:p>
      <w:pPr>
        <w:pStyle w:val="Heading5"/>
      </w:pPr>
      <w:bookmarkStart w:id="156" w:name="b155"/>
      <w:r>
        <w:t>§ 124 Bekanntmachung von Ergänzungsverlangen; Vorschläge zur Beschlussfassung</w:t>
      </w:r>
      <w:r>
        <w:t xml:space="preserve"> </w:t>
      </w:r>
      <w:r>
        <w:rPr>
          <w:rStyle w:val="Suchmarke"/>
        </w:rPr>
        <w:t>#124#</w:t>
      </w:r>
      <w:bookmarkEnd w:id="156"/>
    </w:p>
    <w:p>
      <w:r>
        <w:t xml:space="preserve">(1) </w:t>
      </w:r>
      <w:r>
        <w:rPr>
          <w:rStyle w:val="Satznummer"/>
        </w:rPr>
        <w:t>1</w:t>
      </w:r>
      <w:r>
        <w:t xml:space="preserve">Hat die Minderheit nach </w:t>
      </w:r>
      <w:hyperlink w:anchor="b153" w:history="1">
        <w:r>
          <w:rPr>
            <w:color w:val="0A3A8C"/>
            <w:u w:val="single"/>
          </w:rPr>
          <w:t xml:space="preserve">§ 122</w:t>
        </w:r>
      </w:hyperlink>
      <w:r>
        <w:t xml:space="preserve"> Abs. 2 verlangt, dass Gegenstände auf die Tagesordnung gesetzt werden, so sind diese entweder bereits mit der Einberufung oder andernfalls unverzüglich nach Zugang des Verlangens bekannt zu machen. </w:t>
      </w:r>
      <w:r>
        <w:rPr>
          <w:rStyle w:val="Satznummer"/>
        </w:rPr>
        <w:t>2</w:t>
      </w:r>
      <w:hyperlink w:anchor="b152" w:history="1">
        <w:r>
          <w:rPr>
            <w:color w:val="0A3A8C"/>
            <w:u w:val="single"/>
          </w:rPr>
          <w:t xml:space="preserve">§ 121</w:t>
        </w:r>
      </w:hyperlink>
      <w:r>
        <w:t xml:space="preserve"> Abs. 4 gilt sinngemäß; zudem gilt bei börsennotierten Gesellschaften </w:t>
      </w:r>
      <w:hyperlink w:anchor="b152" w:history="1">
        <w:r>
          <w:rPr>
            <w:color w:val="0A3A8C"/>
            <w:u w:val="single"/>
          </w:rPr>
          <w:t xml:space="preserve">§ 121</w:t>
        </w:r>
      </w:hyperlink>
      <w:r>
        <w:t xml:space="preserve"> Abs. 4a entsprechend. </w:t>
      </w:r>
      <w:r>
        <w:rPr>
          <w:rStyle w:val="Satznummer"/>
        </w:rPr>
        <w:t>3</w:t>
      </w:r>
      <w:r>
        <w:t>Bekanntmachung und Zuleitung haben dabei in gleicher Weise wie bei der Einberufung zu erfolgen.</w:t>
      </w:r>
    </w:p>
    <w:p>
      <w:r>
        <w:t xml:space="preserve">(2) </w:t>
      </w:r>
      <w:r>
        <w:rPr>
          <w:rStyle w:val="Satznummer"/>
        </w:rPr>
        <w:t>1</w:t>
      </w:r>
      <w:r>
        <w:t xml:space="preserve">Steht die Wahl von Aufsichtsratsmitgliedern auf der Tagesordnung, so ist in der Bekanntmachung anzugeben, nach welchen gesetzlichen Vorschriften sich der Aufsichtsrat zusammensetzt; ist die Hauptversammlung an Wahlvorschläge gebunden, so ist auch dies anzugeben. </w:t>
      </w:r>
      <w:r>
        <w:rPr>
          <w:rStyle w:val="Satznummer"/>
        </w:rPr>
        <w:t>2</w:t>
      </w:r>
      <w:r>
        <w:t>Die Bekanntmachung muss bei einer Wahl von Aufsichtsratsmitgliedern börsennotierter Gesellschaften, für die das Mitbestimmungsgesetz, das Montan-Mitbestimmungsgesetz oder das Mitbestimmungsergänzungsgesetz gilt, ferner enthalten:</w:t>
      </w:r>
    </w:p>
    <w:p>
      <w:pPr>
        <w:tabs>
          <w:tab w:pos="567" w:val="left"/>
        </w:tabs>
        <w:ind w:left="567" w:hanging="567"/>
      </w:pPr>
      <w:r>
        <w:t>1.</w:t>
      </w:r>
      <w:r>
        <w:tab/>
      </w:r>
      <w:r>
        <w:t xml:space="preserve">Angabe, ob der Gesamterfüllung nach </w:t>
      </w:r>
      <w:hyperlink w:anchor="b118" w:history="1">
        <w:r>
          <w:rPr>
            <w:color w:val="0A3A8C"/>
            <w:u w:val="single"/>
          </w:rPr>
          <w:t xml:space="preserve">§ 96</w:t>
        </w:r>
      </w:hyperlink>
      <w:r>
        <w:t xml:space="preserve"> Absatz 2 Satz 3 widersprochen wurde, und</w:t>
      </w:r>
    </w:p>
    <w:p>
      <w:pPr>
        <w:tabs>
          <w:tab w:pos="567" w:val="left"/>
        </w:tabs>
        <w:ind w:left="567" w:hanging="567"/>
      </w:pPr>
      <w:r>
        <w:t>2.</w:t>
      </w:r>
      <w:r>
        <w:tab/>
      </w:r>
      <w:r>
        <w:t xml:space="preserve">Angabe, wie viele der Sitze im Aufsichtsrat mindestens jeweils von Frauen und Männern besetzt sein müssen, um das Mindestanteilsgebot nach </w:t>
      </w:r>
      <w:hyperlink w:anchor="b118" w:history="1">
        <w:r>
          <w:rPr>
            <w:color w:val="0A3A8C"/>
            <w:u w:val="single"/>
          </w:rPr>
          <w:t xml:space="preserve">§ 96</w:t>
        </w:r>
      </w:hyperlink>
      <w:r>
        <w:t xml:space="preserve"> Absatz 2 Satz 1 zu erfüllen.</w:t>
      </w:r>
    </w:p>
    <w:p>
      <w:r>
        <w:rPr>
          <w:rStyle w:val="Satznummer"/>
        </w:rPr>
        <w:t>3</w:t>
      </w:r>
      <w:r>
        <w:t>Soll die Hauptversammlung über eine Satzungsänderung oder über einen Vertrag beschließen, der nur mit Zustimmung der Hauptversammlung wirksam wird, so ist bei einer Satzungsänderung der Wortlaut der Satzungsänderung und bei einem vorbezeichneten Vertrag dessen wesentlicher Inhalt bekanntzumachen.</w:t>
      </w:r>
    </w:p>
    <w:p>
      <w:r>
        <w:t xml:space="preserve">(3) </w:t>
      </w:r>
      <w:r>
        <w:rPr>
          <w:rStyle w:val="Satznummer"/>
        </w:rPr>
        <w:t>1</w:t>
      </w:r>
      <w:r>
        <w:t xml:space="preserve">Zu jedem Gegenstand der Tagesordnung, über den die Hauptversammlung beschließen soll, haben der Vorstand und der Aufsichtsrat, zur Beschlussfassung nach </w:t>
      </w:r>
      <w:hyperlink w:anchor="b150" w:history="1">
        <w:r>
          <w:rPr>
            <w:color w:val="0A3A8C"/>
            <w:u w:val="single"/>
          </w:rPr>
          <w:t xml:space="preserve">§ 120a</w:t>
        </w:r>
      </w:hyperlink>
      <w:r>
        <w:t xml:space="preserve"> Absatz 1 Satz 1 und zur Wahl von Aufsichtsratsmitgliedern und Prüfern nur der Aufsichtsrat, in der Bekanntmachung Vorschläge zur Beschlußfassung zu machen. </w:t>
      </w:r>
      <w:r>
        <w:rPr>
          <w:rStyle w:val="Satznummer"/>
        </w:rPr>
        <w:t>2</w:t>
      </w:r>
      <w:r>
        <w:t xml:space="preserve">Bei Gesellschaften, die Unternehmen von öffentlichem Interesse nach § 316a Satz 2 des Handelsgesetzbuchs sind, ist der Vorschlag des Aufsichtsrats zur Wahl des Abschlussprüfers auf die Empfehlung des Prüfungsausschusses zu stützen. </w:t>
      </w:r>
      <w:r>
        <w:rPr>
          <w:rStyle w:val="Satznummer"/>
        </w:rPr>
        <w:t>3</w:t>
      </w:r>
      <w:r>
        <w:t xml:space="preserve">Satz 1 findet keine Anwendung, wenn die Hauptversammlung bei der Wahl von Aufsichtsratsmitgliedern nach § 6 des Montan-Mitbestimmungsgesetzes an Wahlvorschläge gebunden ist, oder wenn der Gegenstand der Beschlußfassung auf Verlangen einer Minderheit auf die Tagesordnung gesetzt worden ist. </w:t>
      </w:r>
      <w:r>
        <w:rPr>
          <w:rStyle w:val="Satznummer"/>
        </w:rPr>
        <w:t>4</w:t>
      </w:r>
      <w:r>
        <w:t xml:space="preserve">Der Vorschlag zur Wahl von Aufsichtsratsmitgliedern oder Prüfern hat deren Namen, ausgeübten Beruf und Wohnort anzugeben. </w:t>
      </w:r>
      <w:r>
        <w:rPr>
          <w:rStyle w:val="Satznummer"/>
        </w:rPr>
        <w:t>5</w:t>
      </w:r>
      <w:r>
        <w:t>Hat der Aufsichtsrat auch aus Aufsichtsratsmitgliedern der Arbeitnehmer zu bestehen, so bedürfen Beschlüsse des Aufsichtsrats über Vorschläge zur Wahl von Aufsichtsratsmitgliedern nur der Mehrheit der Stimmen der Aufsichtsratsmitglieder der Aktionäre; § 8 des Montan-Mitbestimmungsgesetzes bleibt unberührt.</w:t>
      </w:r>
    </w:p>
    <w:p>
      <w:r>
        <w:t xml:space="preserve">(4) </w:t>
      </w:r>
      <w:r>
        <w:rPr>
          <w:rStyle w:val="Satznummer"/>
        </w:rPr>
        <w:t>1</w:t>
      </w:r>
      <w:r>
        <w:t xml:space="preserve">Über Gegenstände der Tagesordnung, die nicht ordnungsgemäß bekanntgemacht sind, dürfen keine Beschlüsse gefaßt werden. </w:t>
      </w:r>
      <w:r>
        <w:rPr>
          <w:rStyle w:val="Satznummer"/>
        </w:rPr>
        <w:t>2</w:t>
      </w:r>
      <w:r>
        <w:t>Zur Beschlußfassung über den in der Versammlung gestellten Antrag auf Einberufung einer Hauptversammlung, zu Anträgen, die zu Gegenständen der Tagesordnung gestellt werden, und zu Verhandlungen ohne Beschlußfassung bedarf es keiner Bekanntmachung.</w:t>
      </w:r>
    </w:p>
    <w:p>
      <w:pPr>
        <w:pStyle w:val="Heading5"/>
      </w:pPr>
      <w:bookmarkStart w:id="157" w:name="b156"/>
      <w:r>
        <w:t>§ 124a Veröffentlichungen auf der Internetseite der Gesellschaft</w:t>
      </w:r>
      <w:r>
        <w:t xml:space="preserve"> </w:t>
      </w:r>
      <w:r>
        <w:rPr>
          <w:rStyle w:val="Suchmarke"/>
        </w:rPr>
        <w:t>#124a#</w:t>
      </w:r>
      <w:bookmarkEnd w:id="157"/>
    </w:p>
    <w:p>
      <w:r>
        <w:rPr>
          <w:rStyle w:val="Satznummer"/>
        </w:rPr>
        <w:t>1</w:t>
      </w:r>
      <w:r>
        <w:t>Bei börsennotierten Gesellschaften müssen alsbald nach der Einberufung der Hauptversammlung über die Internetseite der Gesellschaft zugänglich sein:</w:t>
      </w:r>
    </w:p>
    <w:p>
      <w:pPr>
        <w:tabs>
          <w:tab w:pos="567" w:val="left"/>
        </w:tabs>
        <w:ind w:left="567" w:hanging="567"/>
      </w:pPr>
      <w:r>
        <w:t>1.</w:t>
      </w:r>
      <w:r>
        <w:tab/>
      </w:r>
      <w:r>
        <w:t>der Inhalt der Einberufung;</w:t>
      </w:r>
    </w:p>
    <w:p>
      <w:pPr>
        <w:tabs>
          <w:tab w:pos="567" w:val="left"/>
        </w:tabs>
        <w:ind w:left="567" w:hanging="567"/>
      </w:pPr>
      <w:r>
        <w:t>2.</w:t>
      </w:r>
      <w:r>
        <w:tab/>
      </w:r>
      <w:r>
        <w:t>eine Erläuterung, wenn zu einem Gegenstand der Tagesordnung kein Beschluss gefasst werden soll;</w:t>
      </w:r>
    </w:p>
    <w:p>
      <w:pPr>
        <w:tabs>
          <w:tab w:pos="567" w:val="left"/>
        </w:tabs>
        <w:ind w:left="567" w:hanging="567"/>
      </w:pPr>
      <w:r>
        <w:t>3.</w:t>
      </w:r>
      <w:r>
        <w:tab/>
      </w:r>
      <w:r>
        <w:t>die der Versammlung zugänglich zu machenden Unterlagen;</w:t>
      </w:r>
    </w:p>
    <w:p>
      <w:pPr>
        <w:tabs>
          <w:tab w:pos="567" w:val="left"/>
        </w:tabs>
        <w:ind w:left="567" w:hanging="567"/>
      </w:pPr>
      <w:r>
        <w:t>4.</w:t>
      </w:r>
      <w:r>
        <w:tab/>
      </w:r>
      <w:r>
        <w:t xml:space="preserve">wenn die Hauptversammlung über das Vergütungssystem für die Vorstandsmitglieder, die Vergütung des Aufsichtsrats nach </w:t>
      </w:r>
      <w:hyperlink w:anchor="b138" w:history="1">
        <w:r>
          <w:rPr>
            <w:color w:val="0A3A8C"/>
            <w:u w:val="single"/>
          </w:rPr>
          <w:t xml:space="preserve">§ 113</w:t>
        </w:r>
      </w:hyperlink>
      <w:r>
        <w:t xml:space="preserve"> Absatz 3 oder den Vergütungsbericht beschließen soll, die Unterlagen zu den jeweiligen Beschlussgegenständen; dies gilt auch im Fall des </w:t>
      </w:r>
      <w:hyperlink w:anchor="b150" w:history="1">
        <w:r>
          <w:rPr>
            <w:color w:val="0A3A8C"/>
            <w:u w:val="single"/>
          </w:rPr>
          <w:t xml:space="preserve">§ 120a</w:t>
        </w:r>
      </w:hyperlink>
      <w:r>
        <w:t xml:space="preserve"> Absatz 5;</w:t>
      </w:r>
    </w:p>
    <w:p>
      <w:pPr>
        <w:tabs>
          <w:tab w:pos="567" w:val="left"/>
        </w:tabs>
        <w:ind w:left="567" w:hanging="567"/>
      </w:pPr>
      <w:r>
        <w:t>5.</w:t>
      </w:r>
      <w:r>
        <w:tab/>
      </w:r>
      <w:r>
        <w:t>die Gesamtzahl der Aktien und der Stimmrechte im Zeitpunkt der Einberufung, einschließlich getrennter Angaben zur Gesamtzahl für jede Aktiengattung;</w:t>
      </w:r>
    </w:p>
    <w:p>
      <w:pPr>
        <w:tabs>
          <w:tab w:pos="567" w:val="left"/>
        </w:tabs>
        <w:ind w:left="567" w:hanging="567"/>
      </w:pPr>
      <w:r>
        <w:t>6.</w:t>
      </w:r>
      <w:r>
        <w:tab/>
      </w:r>
      <w:r>
        <w:t>gegebenenfalls die Formulare, die bei Stimmabgabe durch Vertretung oder bei Stimmabgabe mittels Briefwahl zu verwenden sind, sofern diese Formulare den Aktionären nicht direkt übermittelt werden.</w:t>
      </w:r>
    </w:p>
    <w:p>
      <w:r>
        <w:rPr>
          <w:rStyle w:val="Satznummer"/>
        </w:rPr>
        <w:t>2</w:t>
      </w:r>
      <w:r>
        <w:t xml:space="preserve">Ein nach Einberufung der Versammlung bei der Gesellschaft eingegangenes Verlangen von Aktionären im Sinne von </w:t>
      </w:r>
      <w:hyperlink w:anchor="b153" w:history="1">
        <w:r>
          <w:rPr>
            <w:color w:val="0A3A8C"/>
            <w:u w:val="single"/>
          </w:rPr>
          <w:t xml:space="preserve">§ 122</w:t>
        </w:r>
      </w:hyperlink>
      <w:r>
        <w:t xml:space="preserve"> Abs. 2 ist unverzüglich nach seinem Eingang bei der Gesellschaft in gleicher Weise zugänglich zu machen.</w:t>
      </w:r>
    </w:p>
    <w:p>
      <w:pPr>
        <w:pStyle w:val="Heading5"/>
      </w:pPr>
      <w:bookmarkStart w:id="158" w:name="b157"/>
      <w:r>
        <w:t>§ 125 Mitteilungen für die Aktionäre und an Aufsichtsratsmitglieder</w:t>
      </w:r>
      <w:r>
        <w:t xml:space="preserve"> </w:t>
      </w:r>
      <w:r>
        <w:rPr>
          <w:rStyle w:val="Suchmarke"/>
        </w:rPr>
        <w:t>#125#</w:t>
      </w:r>
      <w:bookmarkEnd w:id="158"/>
    </w:p>
    <w:p>
      <w:r>
        <w:t xml:space="preserve">(1) </w:t>
      </w:r>
      <w:r>
        <w:rPr>
          <w:rStyle w:val="Satznummer"/>
        </w:rPr>
        <w:t>1</w:t>
      </w:r>
      <w:r>
        <w:t>Der Vorstand einer Gesellschaft, die nicht ausschließlich Namensaktien ausgegeben hat, hat die Einberufung der Hauptversammlung mindestens 21 Tage vor derselben wie folgt mitzuteilen:</w:t>
      </w:r>
    </w:p>
    <w:p>
      <w:pPr>
        <w:tabs>
          <w:tab w:pos="567" w:val="left"/>
        </w:tabs>
        <w:ind w:left="567" w:hanging="567"/>
      </w:pPr>
      <w:r>
        <w:t>1.</w:t>
      </w:r>
      <w:r>
        <w:tab/>
      </w:r>
      <w:r>
        <w:t>den Intermediären, die Aktien der Gesellschaft verwahren,</w:t>
      </w:r>
    </w:p>
    <w:p>
      <w:pPr>
        <w:tabs>
          <w:tab w:pos="567" w:val="left"/>
        </w:tabs>
        <w:ind w:left="567" w:hanging="567"/>
      </w:pPr>
      <w:r>
        <w:t>2.</w:t>
      </w:r>
      <w:r>
        <w:tab/>
      </w:r>
      <w:r>
        <w:t>den Aktionären und Intermediären, die die Mitteilung verlangt haben, und</w:t>
      </w:r>
    </w:p>
    <w:p>
      <w:pPr>
        <w:tabs>
          <w:tab w:pos="567" w:val="left"/>
        </w:tabs>
        <w:ind w:left="567" w:hanging="567"/>
      </w:pPr>
      <w:r>
        <w:t>3.</w:t>
      </w:r>
      <w:r>
        <w:tab/>
      </w:r>
      <w:r>
        <w:t>den Vereinigungen von Aktionären, die die Mitteilung verlangt haben oder die in der letzten Hauptversammlung Stimmrechte ausgeübt haben.</w:t>
      </w:r>
    </w:p>
    <w:p>
      <w:r>
        <w:rPr>
          <w:rStyle w:val="Satznummer"/>
        </w:rPr>
        <w:t>2</w:t>
      </w:r>
      <w:r>
        <w:t xml:space="preserve">Der Tag der Mitteilung ist nicht mitzurechnen. </w:t>
      </w:r>
      <w:r>
        <w:rPr>
          <w:rStyle w:val="Satznummer"/>
        </w:rPr>
        <w:t>3</w:t>
      </w:r>
      <w:r>
        <w:t xml:space="preserve">Ist die Tagesordnung nach </w:t>
      </w:r>
      <w:hyperlink w:anchor="b153" w:history="1">
        <w:r>
          <w:rPr>
            <w:color w:val="0A3A8C"/>
            <w:u w:val="single"/>
          </w:rPr>
          <w:t xml:space="preserve">§ 122</w:t>
        </w:r>
      </w:hyperlink>
      <w:r>
        <w:t xml:space="preserve"> Abs. 2 zu ändern, so ist bei börsennotierten Gesellschaften die geänderte Tagesordnung mitzuteilen. </w:t>
      </w:r>
      <w:r>
        <w:rPr>
          <w:rStyle w:val="Satznummer"/>
        </w:rPr>
        <w:t>4</w:t>
      </w:r>
      <w:r>
        <w:t xml:space="preserve">In der Mitteilung ist auf die Möglichkeiten der Ausübung des Stimmrechts durch einen Bevollmächtigten, auch durch eine Vereinigung von Aktionären, hinzuweisen. </w:t>
      </w:r>
      <w:r>
        <w:rPr>
          <w:rStyle w:val="Satznummer"/>
        </w:rPr>
        <w:t>5</w:t>
      </w:r>
      <w:r>
        <w:t>Bei börsennotierten Gesellschaften sind einem Vorschlag zur Wahl von Aufsichtsratsmitgliedern Angaben zu deren Mitgliedschaft in anderen gesetzlich zu bildenden Aufsichtsräten beizufügen; Angaben zu ihrer Mitgliedschaft in vergleichbaren in- und ausländischen Kontrollgremien von Wirtschaftsunternehmen sollen beigefügt werden.</w:t>
      </w:r>
    </w:p>
    <w:p>
      <w:r>
        <w:t>(2) Die gleiche Mitteilung hat der Vorstand einer Gesellschaft, die Namensaktien ausgegeben hat, den zu Beginn des 21. Tages vor der Hauptversammlung im Aktienregister Eingetragenen zu machen sowie den Aktionären und Intermediären, die die Mitteilung verlangt haben, und den Vereinigungen von Aktionären, die die Mitteilung verlangt oder die in der letzten Hauptversammlung Stimmrechte ausgeübt haben.</w:t>
      </w:r>
    </w:p>
    <w:p>
      <w:r>
        <w:t>(3) Jedes Aufsichtsratsmitglied kann verlangen, daß ihm der Vorstand die gleichen Mitteilungen übersendet.</w:t>
      </w:r>
    </w:p>
    <w:p>
      <w:r>
        <w:t>(4) Jedem Aufsichtsratsmitglied und jedem Aktionär sind auf Verlangen die in der Hauptversammlung gefassten Beschlüsse mitzuteilen.</w:t>
      </w:r>
    </w:p>
    <w:p>
      <w:r>
        <w:t xml:space="preserve">(5) </w:t>
      </w:r>
      <w:r>
        <w:rPr>
          <w:rStyle w:val="Satznummer"/>
        </w:rPr>
        <w:t>1</w:t>
      </w:r>
      <w:r>
        <w:t xml:space="preserve">Für Inhalt und Format eines Mindestgehaltes an Informationen in den Mitteilungen gemäß Absatz 1 Satz 1 und Absatz 2 gelten die Anforderungen der Durchführungsverordnung (EU) 2018/1212. </w:t>
      </w:r>
      <w:r>
        <w:rPr>
          <w:rStyle w:val="Satznummer"/>
        </w:rPr>
        <w:t>2</w:t>
      </w:r>
      <w:hyperlink w:anchor="b75" w:history="1">
        <w:r>
          <w:rPr>
            <w:color w:val="0A3A8C"/>
            <w:u w:val="single"/>
          </w:rPr>
          <w:t xml:space="preserve">§ 67a</w:t>
        </w:r>
      </w:hyperlink>
      <w:r>
        <w:t xml:space="preserve"> Absatz 2 Satz 1 gilt für die Absätze 1 und 2 entsprechend. </w:t>
      </w:r>
      <w:r>
        <w:rPr>
          <w:rStyle w:val="Satznummer"/>
        </w:rPr>
        <w:t>3</w:t>
      </w:r>
      <w:r>
        <w:t xml:space="preserve">Bei börsennotierten Gesellschaften sind die Intermediäre, die Aktien der Gesellschaft verwahren, entsprechend den §§ 67a und 67b zur Weiterleitung und Übermittlung der Informationen nach den Absätzen 1 und 2 verpflichtet, es sei denn, dem Intermediär ist bekannt, dass der Aktionär sie von anderer Seite erhält. </w:t>
      </w:r>
      <w:r>
        <w:rPr>
          <w:rStyle w:val="Satznummer"/>
        </w:rPr>
        <w:t>4</w:t>
      </w:r>
      <w:r>
        <w:t>Das Gleiche gilt für nichtbörsennotierte Gesellschaften mit der Maßgabe, dass die Bestimmungen der Durchführungsverordnung (EU) 2018/1212 nicht anzuwenden sind.</w:t>
      </w:r>
    </w:p>
    <w:p>
      <w:pPr>
        <w:pStyle w:val="Heading5"/>
      </w:pPr>
      <w:bookmarkStart w:id="159" w:name="b158"/>
      <w:r>
        <w:t>§ 126 Anträge von Aktionären</w:t>
      </w:r>
      <w:r>
        <w:t xml:space="preserve"> </w:t>
      </w:r>
      <w:r>
        <w:rPr>
          <w:rStyle w:val="Suchmarke"/>
        </w:rPr>
        <w:t>#126#</w:t>
      </w:r>
      <w:bookmarkEnd w:id="159"/>
    </w:p>
    <w:p>
      <w:r>
        <w:t xml:space="preserve">(1) </w:t>
      </w:r>
      <w:r>
        <w:rPr>
          <w:rStyle w:val="Satznummer"/>
        </w:rPr>
        <w:t>1</w:t>
      </w:r>
      <w:r>
        <w:t xml:space="preserve">Anträge von Aktionären einschließlich des Namens des Aktionärs, der Begründung und einer etwaigen Stellungnahme der Verwaltung sind den in </w:t>
      </w:r>
      <w:hyperlink w:anchor="b157" w:history="1">
        <w:r>
          <w:rPr>
            <w:color w:val="0A3A8C"/>
            <w:u w:val="single"/>
          </w:rPr>
          <w:t xml:space="preserve">§ 125</w:t>
        </w:r>
      </w:hyperlink>
      <w:r>
        <w:t xml:space="preserve"> Abs. 1 bis 3 genannten Berechtigten unter den dortigen Voraussetzungen zugänglich zu machen, wenn der Aktionär mindestens 14 Tage vor der Versammlung der Gesellschaft einen Gegenantrag gegen einen Vorschlag von Vorstand und Aufsichtsrat zu einem bestimmten Punkt der Tagesordnung mit Begründung an die in der Einberufung hierfür mitgeteilte Adresse übersandt hat. </w:t>
      </w:r>
      <w:r>
        <w:rPr>
          <w:rStyle w:val="Satznummer"/>
        </w:rPr>
        <w:t>2</w:t>
      </w:r>
      <w:r>
        <w:t xml:space="preserve">Der Tag des Zugangs ist nicht mitzurechnen. </w:t>
      </w:r>
      <w:r>
        <w:rPr>
          <w:rStyle w:val="Satznummer"/>
        </w:rPr>
        <w:t>3</w:t>
      </w:r>
      <w:r>
        <w:t xml:space="preserve">Bei börsennotierten Gesellschaften hat das Zugänglichmachen über die Internetseite der Gesellschaft zu erfolgen. </w:t>
      </w:r>
      <w:r>
        <w:rPr>
          <w:rStyle w:val="Satznummer"/>
        </w:rPr>
        <w:t>4</w:t>
      </w:r>
      <w:hyperlink w:anchor="b157" w:history="1">
        <w:r>
          <w:rPr>
            <w:color w:val="0A3A8C"/>
            <w:u w:val="single"/>
          </w:rPr>
          <w:t xml:space="preserve">§ 125</w:t>
        </w:r>
      </w:hyperlink>
      <w:r>
        <w:t xml:space="preserve"> Abs. 3 gilt entsprechend.</w:t>
      </w:r>
    </w:p>
    <w:p>
      <w:r>
        <w:t xml:space="preserve">(2) </w:t>
      </w:r>
      <w:r>
        <w:rPr>
          <w:rStyle w:val="Satznummer"/>
        </w:rPr>
        <w:t>1</w:t>
      </w:r>
      <w:r>
        <w:t>Ein Gegenantrag und dessen Begründung brauchen nicht zugänglich gemacht zu werden,</w:t>
      </w:r>
    </w:p>
    <w:p>
      <w:pPr>
        <w:tabs>
          <w:tab w:pos="567" w:val="left"/>
        </w:tabs>
        <w:ind w:left="567" w:hanging="567"/>
      </w:pPr>
      <w:r>
        <w:t>1.</w:t>
      </w:r>
      <w:r>
        <w:tab/>
      </w:r>
      <w:r>
        <w:t>soweit sich der Vorstand durch das Zugänglichmachen strafbar machen würde,</w:t>
      </w:r>
    </w:p>
    <w:p>
      <w:pPr>
        <w:tabs>
          <w:tab w:pos="567" w:val="left"/>
        </w:tabs>
        <w:ind w:left="567" w:hanging="567"/>
      </w:pPr>
      <w:r>
        <w:t>2.</w:t>
      </w:r>
      <w:r>
        <w:tab/>
      </w:r>
      <w:r>
        <w:t>wenn der Gegenantrag zu einem gesetz- oder satzungswidrigen Beschluß der Hauptversammlung führen würde,</w:t>
      </w:r>
    </w:p>
    <w:p>
      <w:pPr>
        <w:tabs>
          <w:tab w:pos="567" w:val="left"/>
        </w:tabs>
        <w:ind w:left="567" w:hanging="567"/>
      </w:pPr>
      <w:r>
        <w:t>3.</w:t>
      </w:r>
      <w:r>
        <w:tab/>
      </w:r>
      <w:r>
        <w:t>wenn die Begründung in wesentlichen Punkten offensichtlich falsche oder irreführende Angaben oder wenn sie Beleidigungen enthält,</w:t>
      </w:r>
    </w:p>
    <w:p>
      <w:pPr>
        <w:tabs>
          <w:tab w:pos="567" w:val="left"/>
        </w:tabs>
        <w:ind w:left="567" w:hanging="567"/>
      </w:pPr>
      <w:r>
        <w:t>4.</w:t>
      </w:r>
      <w:r>
        <w:tab/>
      </w:r>
      <w:r>
        <w:t xml:space="preserve">wenn ein auf denselben Sachverhalt gestützter Gegenantrag des Aktionärs bereits zu einer Hauptversammlung der Gesellschaft nach </w:t>
      </w:r>
      <w:hyperlink w:anchor="b157" w:history="1">
        <w:r>
          <w:rPr>
            <w:color w:val="0A3A8C"/>
            <w:u w:val="single"/>
          </w:rPr>
          <w:t xml:space="preserve">§ 125</w:t>
        </w:r>
      </w:hyperlink>
      <w:r>
        <w:t xml:space="preserve"> zugänglich gemacht worden ist,</w:t>
      </w:r>
    </w:p>
    <w:p>
      <w:pPr>
        <w:tabs>
          <w:tab w:pos="567" w:val="left"/>
        </w:tabs>
        <w:ind w:left="567" w:hanging="567"/>
      </w:pPr>
      <w:r>
        <w:t>5.</w:t>
      </w:r>
      <w:r>
        <w:tab/>
      </w:r>
      <w:r>
        <w:t xml:space="preserve">wenn derselbe Gegenantrag des Aktionärs mit wesentlich gleicher Begründung in den letzten fünf Jahren bereits zu mindestens zwei Hauptversammlungen der Gesellschaft nach </w:t>
      </w:r>
      <w:hyperlink w:anchor="b157" w:history="1">
        <w:r>
          <w:rPr>
            <w:color w:val="0A3A8C"/>
            <w:u w:val="single"/>
          </w:rPr>
          <w:t xml:space="preserve">§ 125</w:t>
        </w:r>
      </w:hyperlink>
      <w:r>
        <w:t xml:space="preserve"> zugänglich gemacht worden ist und in der Hauptversammlung weniger als der zwanzigste Teil des vertretenen Grundkapitals für ihn gestimmt hat,</w:t>
      </w:r>
    </w:p>
    <w:p>
      <w:pPr>
        <w:tabs>
          <w:tab w:pos="567" w:val="left"/>
        </w:tabs>
        <w:ind w:left="567" w:hanging="567"/>
      </w:pPr>
      <w:r>
        <w:t>6.</w:t>
      </w:r>
      <w:r>
        <w:tab/>
      </w:r>
      <w:r>
        <w:t>wenn der Aktionär zu erkennen gibt, daß er an der Hauptversammlung nicht teilnehmen und sich nicht vertreten lassen wird, oder</w:t>
      </w:r>
    </w:p>
    <w:p>
      <w:pPr>
        <w:tabs>
          <w:tab w:pos="567" w:val="left"/>
        </w:tabs>
        <w:ind w:left="567" w:hanging="567"/>
      </w:pPr>
      <w:r>
        <w:t>7.</w:t>
      </w:r>
      <w:r>
        <w:tab/>
      </w:r>
      <w:r>
        <w:t>wenn der Aktionär in den letzten zwei Jahren in zwei Hauptversammlungen einen von ihm mitgeteilten Gegenantrag nicht gestellt hat oder nicht hat stellen lassen.</w:t>
      </w:r>
    </w:p>
    <w:p>
      <w:r>
        <w:rPr>
          <w:rStyle w:val="Satznummer"/>
        </w:rPr>
        <w:t>2</w:t>
      </w:r>
      <w:r>
        <w:t>Die Begründung braucht nicht zugänglich gemacht zu werden, wenn sie insgesamt mehr als 5 000 Zeichen beträgt.</w:t>
      </w:r>
    </w:p>
    <w:p>
      <w:r>
        <w:t>(3) Stellen mehrere Aktionäre zu demselben Gegenstand der Beschlußfassung Gegenanträge, so kann der Vorstand die Gegenanträge und ihre Begründungen zusammenfassen.</w:t>
      </w:r>
    </w:p>
    <w:p>
      <w:r>
        <w:t xml:space="preserve">(4) </w:t>
      </w:r>
      <w:r>
        <w:rPr>
          <w:rStyle w:val="Satznummer"/>
        </w:rPr>
        <w:t>1</w:t>
      </w:r>
      <w:r>
        <w:t xml:space="preserve">Im Fall der virtuellen Hauptversammlung gelten Anträge, die nach den Absätzen 1 bis 3 zugänglich zu machen sind, als im Zeitpunkt der Zugänglichmachung gestellt. </w:t>
      </w:r>
      <w:r>
        <w:rPr>
          <w:rStyle w:val="Satznummer"/>
        </w:rPr>
        <w:t>2</w:t>
      </w:r>
      <w:r>
        <w:t xml:space="preserve">Die Gesellschaft hat zu ermöglichen, dass das Stimmrecht zu diesen Anträgen ausgeübt werden kann, sobald die Aktionäre die gesetzlichen oder satzungsmäßigen Voraussetzungen für die Ausübung des Stimmrechts nachweisen können. </w:t>
      </w:r>
      <w:r>
        <w:rPr>
          <w:rStyle w:val="Satznummer"/>
        </w:rPr>
        <w:t>3</w:t>
      </w:r>
      <w:r>
        <w:t>Sofern der Aktionär, der den Antrag gestellt hat, nicht ordnungsgemäß legitimiert und, sofern eine Anmeldung erforderlich ist, nicht ordnungsgemäß zur Hauptversammlung angemeldet ist, muss der Antrag in der Versammlung nicht behandelt werden.</w:t>
      </w:r>
    </w:p>
    <w:p>
      <w:pPr>
        <w:pStyle w:val="Heading5"/>
      </w:pPr>
      <w:bookmarkStart w:id="160" w:name="b159"/>
      <w:r>
        <w:t>§ 127 Wahlvorschläge von Aktionären</w:t>
      </w:r>
      <w:r>
        <w:t xml:space="preserve"> </w:t>
      </w:r>
      <w:r>
        <w:rPr>
          <w:rStyle w:val="Suchmarke"/>
        </w:rPr>
        <w:t>#127#</w:t>
      </w:r>
      <w:bookmarkEnd w:id="160"/>
    </w:p>
    <w:p>
      <w:r>
        <w:rPr>
          <w:rStyle w:val="Satznummer"/>
        </w:rPr>
        <w:t>1</w:t>
      </w:r>
      <w:r>
        <w:t xml:space="preserve">Für den Vorschlag eines Aktionärs zur Wahl von Aufsichtsratsmitgliedern oder von Abschlußprüfern gilt </w:t>
      </w:r>
      <w:hyperlink w:anchor="b158" w:history="1">
        <w:r>
          <w:rPr>
            <w:color w:val="0A3A8C"/>
            <w:u w:val="single"/>
          </w:rPr>
          <w:t xml:space="preserve">§ 126</w:t>
        </w:r>
      </w:hyperlink>
      <w:r>
        <w:t xml:space="preserve"> sinngemäß. </w:t>
      </w:r>
      <w:r>
        <w:rPr>
          <w:rStyle w:val="Satznummer"/>
        </w:rPr>
        <w:t>2</w:t>
      </w:r>
      <w:r>
        <w:t xml:space="preserve">Der Wahlvorschlag braucht nicht begründet zu werden. </w:t>
      </w:r>
      <w:r>
        <w:rPr>
          <w:rStyle w:val="Satznummer"/>
        </w:rPr>
        <w:t>3</w:t>
      </w:r>
      <w:r>
        <w:t xml:space="preserve">Der Vorstand braucht den Wahlvorschlag auch dann nicht zugänglich zu machen, wenn der Vorschlag nicht die Angaben nach </w:t>
      </w:r>
      <w:hyperlink w:anchor="b155" w:history="1">
        <w:r>
          <w:rPr>
            <w:color w:val="0A3A8C"/>
            <w:u w:val="single"/>
          </w:rPr>
          <w:t xml:space="preserve">§ 124</w:t>
        </w:r>
      </w:hyperlink>
      <w:r>
        <w:t xml:space="preserve"> Absatz 3 Satz 4 und </w:t>
      </w:r>
      <w:hyperlink w:anchor="b157" w:history="1">
        <w:r>
          <w:rPr>
            <w:color w:val="0A3A8C"/>
            <w:u w:val="single"/>
          </w:rPr>
          <w:t xml:space="preserve">§ 125</w:t>
        </w:r>
      </w:hyperlink>
      <w:r>
        <w:t xml:space="preserve"> Abs. 1 Satz 5 enthält. </w:t>
      </w:r>
      <w:r>
        <w:rPr>
          <w:rStyle w:val="Satznummer"/>
        </w:rPr>
        <w:t>4</w:t>
      </w:r>
      <w:r>
        <w:t>Der Vorstand hat den Vorschlag eines Aktionärs zur Wahl von Aufsichtsratsmitgliedern börsennotierter Gesellschaften, für die das Mitbestimmungsgesetz, das Montan-Mitbestimmungsgesetz oder das Mitbestimmungsergänzungsgesetz gilt, mit folgenden Inhalten zu versehen:</w:t>
      </w:r>
    </w:p>
    <w:p>
      <w:pPr>
        <w:tabs>
          <w:tab w:pos="567" w:val="left"/>
        </w:tabs>
        <w:ind w:left="567" w:hanging="567"/>
      </w:pPr>
      <w:r>
        <w:t>1.</w:t>
      </w:r>
      <w:r>
        <w:tab/>
      </w:r>
      <w:r>
        <w:t xml:space="preserve">Hinweis auf die Anforderungen des </w:t>
      </w:r>
      <w:hyperlink w:anchor="b118" w:history="1">
        <w:r>
          <w:rPr>
            <w:color w:val="0A3A8C"/>
            <w:u w:val="single"/>
          </w:rPr>
          <w:t xml:space="preserve">§ 96</w:t>
        </w:r>
      </w:hyperlink>
      <w:r>
        <w:t xml:space="preserve"> Absatz 2,</w:t>
      </w:r>
    </w:p>
    <w:p>
      <w:pPr>
        <w:tabs>
          <w:tab w:pos="567" w:val="left"/>
        </w:tabs>
        <w:ind w:left="567" w:hanging="567"/>
      </w:pPr>
      <w:r>
        <w:t>2.</w:t>
      </w:r>
      <w:r>
        <w:tab/>
      </w:r>
      <w:r>
        <w:t xml:space="preserve">Angabe, ob der Gesamterfüllung nach </w:t>
      </w:r>
      <w:hyperlink w:anchor="b118" w:history="1">
        <w:r>
          <w:rPr>
            <w:color w:val="0A3A8C"/>
            <w:u w:val="single"/>
          </w:rPr>
          <w:t xml:space="preserve">§ 96</w:t>
        </w:r>
      </w:hyperlink>
      <w:r>
        <w:t xml:space="preserve"> Absatz 2 Satz 3 widersprochen wurde und</w:t>
      </w:r>
    </w:p>
    <w:p>
      <w:pPr>
        <w:tabs>
          <w:tab w:pos="567" w:val="left"/>
        </w:tabs>
        <w:ind w:left="567" w:hanging="567"/>
      </w:pPr>
      <w:r>
        <w:t>3.</w:t>
      </w:r>
      <w:r>
        <w:tab/>
      </w:r>
      <w:r>
        <w:t xml:space="preserve">Angabe, wie viele der Sitze im Aufsichtsrat mindestens jeweils von Frauen und Männern besetzt sein müssen, um das Mindestanteilsgebot nach </w:t>
      </w:r>
      <w:hyperlink w:anchor="b118" w:history="1">
        <w:r>
          <w:rPr>
            <w:color w:val="0A3A8C"/>
            <w:u w:val="single"/>
          </w:rPr>
          <w:t xml:space="preserve">§ 96</w:t>
        </w:r>
      </w:hyperlink>
      <w:r>
        <w:t xml:space="preserve"> Absatz 2 Satz 1 zu erfüllen.</w:t>
      </w:r>
    </w:p>
    <w:p>
      <w:pPr>
        <w:pStyle w:val="Heading5"/>
      </w:pPr>
      <w:bookmarkStart w:id="161" w:name="b160"/>
      <w:r>
        <w:t>§ 127a Aktionärsforum</w:t>
      </w:r>
      <w:r>
        <w:t xml:space="preserve"> </w:t>
      </w:r>
      <w:r>
        <w:rPr>
          <w:rStyle w:val="Suchmarke"/>
        </w:rPr>
        <w:t>#127a#</w:t>
      </w:r>
      <w:bookmarkEnd w:id="161"/>
    </w:p>
    <w:p>
      <w:r>
        <w:t>(1) Aktionäre oder Aktionärsvereinigungen können im Aktionärsforum des Bundesanzeigers andere Aktionäre auffordern, gemeinsam oder in Vertretung einen Antrag oder ein Verlangen nach diesem Gesetz zu stellen oder in einer Hauptversammlung das Stimmrecht auszuüben.</w:t>
      </w:r>
    </w:p>
    <w:p>
      <w:r>
        <w:t>(2) Die Aufforderung hat folgende Angaben zu enthalten:</w:t>
      </w:r>
    </w:p>
    <w:p>
      <w:pPr>
        <w:tabs>
          <w:tab w:pos="567" w:val="left"/>
        </w:tabs>
        <w:ind w:left="567" w:hanging="567"/>
      </w:pPr>
      <w:r>
        <w:t>1.</w:t>
      </w:r>
      <w:r>
        <w:tab/>
      </w:r>
      <w:r>
        <w:t>den Namen und eine Anschrift des Aktionärs oder der Aktionärsvereinigung,</w:t>
      </w:r>
    </w:p>
    <w:p>
      <w:pPr>
        <w:tabs>
          <w:tab w:pos="567" w:val="left"/>
        </w:tabs>
        <w:ind w:left="567" w:hanging="567"/>
      </w:pPr>
      <w:r>
        <w:t>2.</w:t>
      </w:r>
      <w:r>
        <w:tab/>
      </w:r>
      <w:r>
        <w:t>die Firma der Gesellschaft,</w:t>
      </w:r>
    </w:p>
    <w:p>
      <w:pPr>
        <w:tabs>
          <w:tab w:pos="567" w:val="left"/>
        </w:tabs>
        <w:ind w:left="567" w:hanging="567"/>
      </w:pPr>
      <w:r>
        <w:t>3.</w:t>
      </w:r>
      <w:r>
        <w:tab/>
      </w:r>
      <w:r>
        <w:t>den Antrag, das Verlangen oder einen Vorschlag für die Ausübung des Stimmrechts zu einem Tagesordnungspunkt,</w:t>
      </w:r>
    </w:p>
    <w:p>
      <w:pPr>
        <w:tabs>
          <w:tab w:pos="567" w:val="left"/>
        </w:tabs>
        <w:ind w:left="567" w:hanging="567"/>
      </w:pPr>
      <w:r>
        <w:t>4.</w:t>
      </w:r>
      <w:r>
        <w:tab/>
      </w:r>
      <w:r>
        <w:t>den Tag der betroffenen Hauptversammlung.</w:t>
      </w:r>
    </w:p>
    <w:p>
      <w:r>
        <w:t>(3) Die Aufforderung kann auf eine Begründung auf der Internetseite des Auffordernden und dessen elektronische Adresse hinweisen.</w:t>
      </w:r>
    </w:p>
    <w:p>
      <w:r>
        <w:t>(4) Die Gesellschaft kann im Bundesanzeiger auf eine Stellungnahme zu der Aufforderung auf ihrer Internetseite hinweisen.</w:t>
      </w:r>
    </w:p>
    <w:p>
      <w:r>
        <w:t>(5) Das Bundesministerium der Justiz und für Verbraucherschutz wird ermächtigt, durch Rechtsverordnung die äußere Gestaltung des Aktionärsforums und weitere Einzelheiten insbesondere zu der Aufforderung, dem Hinweis, den Entgelten, zu Löschungsfristen, Löschungsanspruch, zu Missbrauchsfällen und zur Einsichtnahme zu regeln.</w:t>
      </w:r>
    </w:p>
    <w:p>
      <w:pPr>
        <w:pStyle w:val="Heading5"/>
      </w:pPr>
      <w:bookmarkStart w:id="162" w:name="b161"/>
      <w:r>
        <w:t>§ 128 (weggefallen)</w:t>
      </w:r>
      <w:r>
        <w:t xml:space="preserve"> </w:t>
      </w:r>
      <w:r>
        <w:rPr>
          <w:rStyle w:val="Suchmarke"/>
        </w:rPr>
        <w:t>#128#</w:t>
      </w:r>
      <w:bookmarkEnd w:id="162"/>
    </w:p>
    <w:p>
      <w:pPr>
        <w:pStyle w:val="Heading4"/>
      </w:pPr>
      <w:bookmarkStart w:id="163" w:name="b162"/>
      <w:r>
        <w:t>Dritter Unterabschnitt Verhandlungsniederschrift. Auskunftsrecht</w:t>
      </w:r>
      <w:bookmarkEnd w:id="163"/>
    </w:p>
    <w:p>
      <w:pPr>
        <w:pStyle w:val="Heading5"/>
      </w:pPr>
      <w:bookmarkStart w:id="164" w:name="b163"/>
      <w:r>
        <w:t>§ 129 Geschäftsordnung; Verzeichnis der Teilnehmer; Nachweis der Stimmzählung</w:t>
      </w:r>
      <w:r>
        <w:t xml:space="preserve"> </w:t>
      </w:r>
      <w:r>
        <w:rPr>
          <w:rStyle w:val="Suchmarke"/>
        </w:rPr>
        <w:t>#129#</w:t>
      </w:r>
      <w:bookmarkEnd w:id="164"/>
    </w:p>
    <w:p>
      <w:r>
        <w:t xml:space="preserve">(1) </w:t>
      </w:r>
      <w:r>
        <w:rPr>
          <w:rStyle w:val="Satznummer"/>
        </w:rPr>
        <w:t>1</w:t>
      </w:r>
      <w:r>
        <w:t xml:space="preserve">Die Hauptversammlung kann sich mit einer Mehrheit, die mindestens drei Viertel des bei der Beschlußfassung vertretenen Grundkapitals umfaßt, eine Geschäftsordnung mit Regeln für die Vorbereitung und Durchführung der Hauptversammlung geben. </w:t>
      </w:r>
      <w:r>
        <w:rPr>
          <w:rStyle w:val="Satznummer"/>
        </w:rPr>
        <w:t>2</w:t>
      </w:r>
      <w:r>
        <w:t xml:space="preserve">In der Hauptversammlung ist ein Verzeichnis der erschienenen oder vertretenen Aktionäre und der Vertreter von Aktionären mit Angabe ihres Namens und Wohnorts sowie bei Mehrstimmrechtsaktien die Zahl der auf sie entfallenden Stimmrechte, bei Nennbetragsaktien des Betrags, bei Stückaktien der Zahl der von jedem vertretenen Aktien unter Angabe ihrer Gattung aufzustellen. </w:t>
      </w:r>
      <w:r>
        <w:rPr>
          <w:rStyle w:val="Satznummer"/>
        </w:rPr>
        <w:t>3</w:t>
      </w:r>
      <w:r>
        <w:t>Im Fall der virtuellen Hauptversammlung sind die elektronisch zu der Versammlung zugeschalteten oder vertretenen Aktionäre und die elektronisch zu der Versammlung zugeschalteten Vertreter von Aktionären in das Verzeichnis nach Satz 2 aufzunehmen.</w:t>
      </w:r>
    </w:p>
    <w:p>
      <w:r>
        <w:t xml:space="preserve">(2) </w:t>
      </w:r>
      <w:r>
        <w:rPr>
          <w:rStyle w:val="Satznummer"/>
        </w:rPr>
        <w:t>1</w:t>
      </w:r>
      <w:r>
        <w:t xml:space="preserve">Sind einem Intermediär oder einer in </w:t>
      </w:r>
      <w:hyperlink w:anchor="b175" w:history="1">
        <w:r>
          <w:rPr>
            <w:color w:val="0A3A8C"/>
            <w:u w:val="single"/>
          </w:rPr>
          <w:t xml:space="preserve">§ 135</w:t>
        </w:r>
      </w:hyperlink>
      <w:r>
        <w:t xml:space="preserve"> Abs. 8 bezeichneten Person Vollmachten zur Ausübung des Stimmrechts erteilt worden und übt der Bevollmächtigte das Stimmrecht im Namen dessen, den es angeht, aus, so sind bei Nennbetragsaktien der Betrag, bei Stückaktien die Zahl und die Gattung der Aktien, für die ihm Vollmachten erteilt worden sind, zur Aufnahme in das Verzeichnis gesondert anzugeben. </w:t>
      </w:r>
      <w:r>
        <w:rPr>
          <w:rStyle w:val="Satznummer"/>
        </w:rPr>
        <w:t>2</w:t>
      </w:r>
      <w:r>
        <w:t>Die Namen der Aktionäre, welche Vollmachten erteilt haben, brauchen nicht angegeben zu werden.</w:t>
      </w:r>
    </w:p>
    <w:p>
      <w:r>
        <w:t xml:space="preserve">(3) </w:t>
      </w:r>
      <w:r>
        <w:rPr>
          <w:rStyle w:val="Satznummer"/>
        </w:rPr>
        <w:t>1</w:t>
      </w:r>
      <w:r>
        <w:t xml:space="preserve">Wer von einem Aktionär ermächtigt ist, im eigenen Namen das Stimmrecht für Aktien auszuüben, die ihm nicht gehören, hat bei Nennbetragsaktien den Betrag, bei Stückaktien die Zahl und die Gattung dieser Aktien zur Aufnahme in das Verzeichnis gesondert anzugeben. </w:t>
      </w:r>
      <w:r>
        <w:rPr>
          <w:rStyle w:val="Satznummer"/>
        </w:rPr>
        <w:t>2</w:t>
      </w:r>
      <w:r>
        <w:t>Dies gilt auch für Namensaktien, als deren Aktionär der Ermächtigte im Aktienregister eingetragen ist.</w:t>
      </w:r>
    </w:p>
    <w:p>
      <w:r>
        <w:t xml:space="preserve">(4) </w:t>
      </w:r>
      <w:r>
        <w:rPr>
          <w:rStyle w:val="Satznummer"/>
        </w:rPr>
        <w:t>1</w:t>
      </w:r>
      <w:r>
        <w:t xml:space="preserve">Das Verzeichnis ist vor der ersten Abstimmung allen Teilnehmern, im Fall der virtuellen Hauptversammlung allen elektronisch zu der Versammlung zugeschalteten Aktionären und Vertretern von Aktionären zugänglich zu machen. </w:t>
      </w:r>
      <w:r>
        <w:rPr>
          <w:rStyle w:val="Satznummer"/>
        </w:rPr>
        <w:t>2</w:t>
      </w:r>
      <w:r>
        <w:t>Jedem Aktionär ist auf Verlangen bis zu zwei Jahren nach der Hauptversammlung Einsicht in das Teilnehmerverzeichnis zu gewähren.</w:t>
      </w:r>
    </w:p>
    <w:p>
      <w:r>
        <w:t xml:space="preserve">(5) </w:t>
      </w:r>
      <w:r>
        <w:rPr>
          <w:rStyle w:val="Satznummer"/>
        </w:rPr>
        <w:t>1</w:t>
      </w:r>
      <w:r>
        <w:t xml:space="preserve">Der Abstimmende kann von der Gesellschaft innerhalb eines Monats nach dem Tag der Hauptversammlung eine Bestätigung darüber verlangen, ob und wie seine Stimme gezählt wurde. </w:t>
      </w:r>
      <w:r>
        <w:rPr>
          <w:rStyle w:val="Satznummer"/>
        </w:rPr>
        <w:t>2</w:t>
      </w:r>
      <w:r>
        <w:t xml:space="preserve">Die Gesellschaft hat die Bestätigung gemäß den Anforderungen in Artikel 7 Absatz 2 und Artikel 9 Absatz 5 Unterabsatz 2 der Durchführungsverordnung (EU) 2018/1212 zu erteilen. </w:t>
      </w:r>
      <w:r>
        <w:rPr>
          <w:rStyle w:val="Satznummer"/>
        </w:rPr>
        <w:t>3</w:t>
      </w:r>
      <w:r>
        <w:t xml:space="preserve">Sofern die Bestätigung einem Intermediär erteilt wird, hat dieser die Bestätigung unverzüglich dem Aktionär zu übermitteln. </w:t>
      </w:r>
      <w:r>
        <w:rPr>
          <w:rStyle w:val="Satznummer"/>
        </w:rPr>
        <w:t>4</w:t>
      </w:r>
      <w:hyperlink w:anchor="b75" w:history="1">
        <w:r>
          <w:rPr>
            <w:color w:val="0A3A8C"/>
            <w:u w:val="single"/>
          </w:rPr>
          <w:t xml:space="preserve">§ 67a</w:t>
        </w:r>
      </w:hyperlink>
      <w:r>
        <w:t xml:space="preserve"> Absatz 2 Satz 1 und Absatz 3 gilt entsprechend.</w:t>
      </w:r>
    </w:p>
    <w:p>
      <w:pPr>
        <w:pStyle w:val="Heading5"/>
      </w:pPr>
      <w:bookmarkStart w:id="165" w:name="b164"/>
      <w:r>
        <w:t>§ 130 Niederschrift</w:t>
      </w:r>
      <w:r>
        <w:t xml:space="preserve"> </w:t>
      </w:r>
      <w:r>
        <w:rPr>
          <w:rStyle w:val="Suchmarke"/>
        </w:rPr>
        <w:t>#130#</w:t>
      </w:r>
      <w:bookmarkEnd w:id="165"/>
    </w:p>
    <w:p>
      <w:r>
        <w:t xml:space="preserve">(1) </w:t>
      </w:r>
      <w:r>
        <w:rPr>
          <w:rStyle w:val="Satznummer"/>
        </w:rPr>
        <w:t>1</w:t>
      </w:r>
      <w:r>
        <w:t xml:space="preserve">Jeder Beschluß der Hauptversammlung ist durch eine über die Verhandlung notariell aufgenommene Niederschrift zu beurkunden. </w:t>
      </w:r>
      <w:r>
        <w:rPr>
          <w:rStyle w:val="Satznummer"/>
        </w:rPr>
        <w:t>2</w:t>
      </w:r>
      <w:r>
        <w:t xml:space="preserve">Gleiches gilt für jedes Verlangen einer Minderheit nach </w:t>
      </w:r>
      <w:hyperlink w:anchor="b149" w:history="1">
        <w:r>
          <w:rPr>
            <w:color w:val="0A3A8C"/>
            <w:u w:val="single"/>
          </w:rPr>
          <w:t xml:space="preserve">§ 120</w:t>
        </w:r>
      </w:hyperlink>
      <w:r>
        <w:t xml:space="preserve"> Abs. 1 Satz 2, </w:t>
      </w:r>
      <w:hyperlink w:anchor="b178" w:history="1">
        <w:r>
          <w:rPr>
            <w:color w:val="0A3A8C"/>
            <w:u w:val="single"/>
          </w:rPr>
          <w:t xml:space="preserve">§ 137</w:t>
        </w:r>
      </w:hyperlink>
      <w:r>
        <w:t xml:space="preserve">. </w:t>
      </w:r>
      <w:r>
        <w:rPr>
          <w:rStyle w:val="Satznummer"/>
        </w:rPr>
        <w:t>3</w:t>
      </w:r>
      <w:r>
        <w:t>Bei nichtbörsennotierten Gesellschaften reicht eine vom Vorsitzenden des Aufsichtsrats zu unterzeichnende Niederschrift aus, soweit keine Beschlüsse gefaßt werden, für die das Gesetz eine Dreiviertel- oder größere Mehrheit bestimmt.</w:t>
      </w:r>
    </w:p>
    <w:p>
      <w:r>
        <w:t>(1a) Der Notar hat seine Wahrnehmungen über den Gang der Hauptversammlung unter Anwesenheit am Ort der Hauptversammlung zu machen.</w:t>
      </w:r>
    </w:p>
    <w:p>
      <w:r>
        <w:t xml:space="preserve">(2) </w:t>
      </w:r>
      <w:r>
        <w:rPr>
          <w:rStyle w:val="Satznummer"/>
        </w:rPr>
        <w:t>1</w:t>
      </w:r>
      <w:r>
        <w:t xml:space="preserve">In der Niederschrift sind der Ort und der Tag der Verhandlung, der Name des Notars sowie die Art und das Ergebnis der Abstimmung und die Feststellung des Vorsitzenden über die Beschlußfassung anzugeben. </w:t>
      </w:r>
      <w:r>
        <w:rPr>
          <w:rStyle w:val="Satznummer"/>
        </w:rPr>
        <w:t>2</w:t>
      </w:r>
      <w:r>
        <w:t>Bei börsennotierten Gesellschaften umfasst die Feststellung über die Beschlussfassung für jeden Beschluss auch</w:t>
      </w:r>
    </w:p>
    <w:p>
      <w:pPr>
        <w:tabs>
          <w:tab w:pos="567" w:val="left"/>
        </w:tabs>
        <w:ind w:left="567" w:hanging="567"/>
      </w:pPr>
      <w:r>
        <w:t>1.</w:t>
      </w:r>
      <w:r>
        <w:tab/>
      </w:r>
      <w:r>
        <w:t>die Zahl der Aktien, für die gültige Stimmen abgegeben wurden, wobei Mehrstimmrechtsaktien gesondert unter Angabe der auf sie entfallenden Stimmenzahl anzugeben sind,</w:t>
      </w:r>
    </w:p>
    <w:p>
      <w:pPr>
        <w:tabs>
          <w:tab w:pos="567" w:val="left"/>
        </w:tabs>
        <w:ind w:left="567" w:hanging="567"/>
      </w:pPr>
      <w:r>
        <w:t>2.</w:t>
      </w:r>
      <w:r>
        <w:tab/>
      </w:r>
      <w:r>
        <w:t>den Anteil des durch die gültigen Stimmen vertretenen Grundkapitals am eingetragenen Grundkapital,</w:t>
      </w:r>
    </w:p>
    <w:p>
      <w:pPr>
        <w:tabs>
          <w:tab w:pos="567" w:val="left"/>
        </w:tabs>
        <w:ind w:left="567" w:hanging="567"/>
      </w:pPr>
      <w:r>
        <w:t>3.</w:t>
      </w:r>
      <w:r>
        <w:tab/>
      </w:r>
      <w:r>
        <w:t>die Zahl der für einen Beschluss abgegebenen Stimmen, Gegenstimmen und gegebenenfalls die Zahl der Enthaltungen.</w:t>
      </w:r>
    </w:p>
    <w:p>
      <w:r>
        <w:rPr>
          <w:rStyle w:val="Satznummer"/>
        </w:rPr>
        <w:t>3</w:t>
      </w:r>
      <w:r>
        <w:t>Abweichend von Satz 2 kann der Versammlungsleiter die Feststellung über die Beschlussfassung für jeden Beschluss darauf beschränken, dass die erforderliche Mehrheit erreicht wurde, falls kein Aktionär eine umfassende Feststellung gemäß Satz 2 verlangt.</w:t>
      </w:r>
    </w:p>
    <w:p>
      <w:r>
        <w:t>(3) Die Belege über die Einberufung der Versammlung sind der Niederschrift als Anlage beizufügen, wenn sie nicht unter Angabe ihres Inhalts in der Niederschrift aufgeführt sind.</w:t>
      </w:r>
    </w:p>
    <w:p>
      <w:r>
        <w:t xml:space="preserve">(4) </w:t>
      </w:r>
      <w:r>
        <w:rPr>
          <w:rStyle w:val="Satznummer"/>
        </w:rPr>
        <w:t>1</w:t>
      </w:r>
      <w:r>
        <w:t xml:space="preserve">Die Niederschrift ist von dem Notar zu unterschreiben. </w:t>
      </w:r>
      <w:r>
        <w:rPr>
          <w:rStyle w:val="Satznummer"/>
        </w:rPr>
        <w:t>2</w:t>
      </w:r>
      <w:r>
        <w:t>Die Zuziehung von Zeugen ist nicht nötig.</w:t>
      </w:r>
    </w:p>
    <w:p>
      <w:r>
        <w:t>(5) Unverzüglich nach der Versammlung hat der Vorstand eine öffentlich beglaubigte, im Falle des Absatzes 1 Satz 3 eine vom Vorsitzenden des Aufsichtsrats unterzeichnete Abschrift der Niederschrift und ihrer Anlagen zum Handelsregister einzureichen.</w:t>
      </w:r>
    </w:p>
    <w:p>
      <w:r>
        <w:t>(6) Börsennotierte Gesellschaften müssen innerhalb von sieben Tagen nach der Versammlung die festgestellten Abstimmungsergebnisse einschließlich der Angaben nach Absatz 2 Satz 2 auf ihrer Internetseite veröffentlichen.</w:t>
      </w:r>
    </w:p>
    <w:p>
      <w:pPr>
        <w:pStyle w:val="Heading5"/>
      </w:pPr>
      <w:bookmarkStart w:id="166" w:name="b165"/>
      <w:r>
        <w:t>§ 130a Stellungnahme- und Rederecht bei virtuellen Hauptversammlungen</w:t>
      </w:r>
      <w:r>
        <w:t xml:space="preserve"> </w:t>
      </w:r>
      <w:r>
        <w:rPr>
          <w:rStyle w:val="Suchmarke"/>
        </w:rPr>
        <w:t>#130a#</w:t>
      </w:r>
      <w:bookmarkEnd w:id="166"/>
    </w:p>
    <w:p>
      <w:r>
        <w:t xml:space="preserve">(1) </w:t>
      </w:r>
      <w:r>
        <w:rPr>
          <w:rStyle w:val="Satznummer"/>
        </w:rPr>
        <w:t>1</w:t>
      </w:r>
      <w:r>
        <w:t xml:space="preserve">Im Fall der virtuellen Hauptversammlung haben die Aktionäre das Recht, vor der Versammlung Stellungnahmen zu den Gegenständen der Tagesordnung im Wege elektronischer Kommunikation unter Verwendung der in der Einberufung hierfür mitgeteilten Adresse einzureichen. </w:t>
      </w:r>
      <w:r>
        <w:rPr>
          <w:rStyle w:val="Satznummer"/>
        </w:rPr>
        <w:t>2</w:t>
      </w:r>
      <w:r>
        <w:t xml:space="preserve">Das Recht kann auf ordnungsgemäß zu der Versammlung angemeldete Aktionäre beschränkt werden. </w:t>
      </w:r>
      <w:r>
        <w:rPr>
          <w:rStyle w:val="Satznummer"/>
        </w:rPr>
        <w:t>3</w:t>
      </w:r>
      <w:r>
        <w:t>Der Umfang der Stellungnahmen kann in der Einberufung angemessen beschränkt werden.</w:t>
      </w:r>
    </w:p>
    <w:p>
      <w:r>
        <w:t>(2) Stellungnahmen sind bis spätestens fünf Tage vor der Versammlung einzureichen.</w:t>
      </w:r>
    </w:p>
    <w:p>
      <w:r>
        <w:t xml:space="preserve">(3) </w:t>
      </w:r>
      <w:r>
        <w:rPr>
          <w:rStyle w:val="Satznummer"/>
        </w:rPr>
        <w:t>1</w:t>
      </w:r>
      <w:r>
        <w:t xml:space="preserve">Die eingereichten Stellungnahmen sind allen Aktionären bis spätestens vier Tage vor der Versammlung zugänglich zu machen. </w:t>
      </w:r>
      <w:r>
        <w:rPr>
          <w:rStyle w:val="Satznummer"/>
        </w:rPr>
        <w:t>2</w:t>
      </w:r>
      <w:r>
        <w:t xml:space="preserve">Das Zugänglichmachen kann auf ordnungsgemäß zu der Versammlung angemeldete Aktionäre beschränkt werden. </w:t>
      </w:r>
      <w:r>
        <w:rPr>
          <w:rStyle w:val="Satznummer"/>
        </w:rPr>
        <w:t>3</w:t>
      </w:r>
      <w:r>
        <w:t xml:space="preserve">Bei börsennotierten Gesellschaften hat das Zugänglichmachen über die Internetseite der Gesellschaft zu erfolgen; im Fall des Satzes 2 kann das Zugänglichmachen auch über die Internetseite eines Dritten erfolgen. </w:t>
      </w:r>
      <w:r>
        <w:rPr>
          <w:rStyle w:val="Satznummer"/>
        </w:rPr>
        <w:t>4</w:t>
      </w:r>
      <w:hyperlink w:anchor="b158" w:history="1">
        <w:r>
          <w:rPr>
            <w:color w:val="0A3A8C"/>
            <w:u w:val="single"/>
          </w:rPr>
          <w:t xml:space="preserve">§ 126</w:t>
        </w:r>
      </w:hyperlink>
      <w:r>
        <w:t xml:space="preserve"> Absatz 2 Satz 1 Nummer 1, 3 und 6 gilt entsprechend.</w:t>
      </w:r>
    </w:p>
    <w:p>
      <w:r>
        <w:t xml:space="preserve">(4) Für die Berechnung der in den Absätzen 2 und 3 Satz 1 genannten Fristen gilt </w:t>
      </w:r>
      <w:hyperlink w:anchor="b152" w:history="1">
        <w:r>
          <w:rPr>
            <w:color w:val="0A3A8C"/>
            <w:u w:val="single"/>
          </w:rPr>
          <w:t xml:space="preserve">§ 121</w:t>
        </w:r>
      </w:hyperlink>
      <w:r>
        <w:t xml:space="preserve"> Absatz 7.</w:t>
      </w:r>
    </w:p>
    <w:p>
      <w:r>
        <w:t xml:space="preserve">(5) </w:t>
      </w:r>
      <w:r>
        <w:rPr>
          <w:rStyle w:val="Satznummer"/>
        </w:rPr>
        <w:t>1</w:t>
      </w:r>
      <w:r>
        <w:t xml:space="preserve">Den elektronisch zu der Versammlung zugeschalteten Aktionären ist in der Versammlung ein Rederecht im Wege der Videokommunikation zu gewähren. </w:t>
      </w:r>
      <w:r>
        <w:rPr>
          <w:rStyle w:val="Satznummer"/>
        </w:rPr>
        <w:t>2</w:t>
      </w:r>
      <w:r>
        <w:t xml:space="preserve">Für die Redebeiträge ist die von der Gesellschaft angebotene Form der Videokommunikation zu verwenden. </w:t>
      </w:r>
      <w:r>
        <w:rPr>
          <w:rStyle w:val="Satznummer"/>
        </w:rPr>
        <w:t>3</w:t>
      </w:r>
      <w:r>
        <w:t xml:space="preserve">Anträge und Wahlvorschläge nach </w:t>
      </w:r>
      <w:hyperlink w:anchor="b147" w:history="1">
        <w:r>
          <w:rPr>
            <w:color w:val="0A3A8C"/>
            <w:u w:val="single"/>
          </w:rPr>
          <w:t xml:space="preserve">§ 118a</w:t>
        </w:r>
      </w:hyperlink>
      <w:r>
        <w:t xml:space="preserve"> Absatz 1 Satz 2 Nummer 3, das Auskunftsverlangen nach </w:t>
      </w:r>
      <w:hyperlink w:anchor="b166" w:history="1">
        <w:r>
          <w:rPr>
            <w:color w:val="0A3A8C"/>
            <w:u w:val="single"/>
          </w:rPr>
          <w:t xml:space="preserve">§ 131</w:t>
        </w:r>
      </w:hyperlink>
      <w:r>
        <w:t xml:space="preserve"> Absatz 1, Nachfragen nach </w:t>
      </w:r>
      <w:hyperlink w:anchor="b166" w:history="1">
        <w:r>
          <w:rPr>
            <w:color w:val="0A3A8C"/>
            <w:u w:val="single"/>
          </w:rPr>
          <w:t xml:space="preserve">§ 131</w:t>
        </w:r>
      </w:hyperlink>
      <w:r>
        <w:t xml:space="preserve"> Absatz 1d sowie weitere Fragen nach </w:t>
      </w:r>
      <w:hyperlink w:anchor="b166" w:history="1">
        <w:r>
          <w:rPr>
            <w:color w:val="0A3A8C"/>
            <w:u w:val="single"/>
          </w:rPr>
          <w:t xml:space="preserve">§ 131</w:t>
        </w:r>
      </w:hyperlink>
      <w:r>
        <w:t xml:space="preserve"> Absatz 1e dürfen Bestandteil des Redebeitrags sein. </w:t>
      </w:r>
      <w:r>
        <w:rPr>
          <w:rStyle w:val="Satznummer"/>
        </w:rPr>
        <w:t>4</w:t>
      </w:r>
      <w:hyperlink w:anchor="b166" w:history="1">
        <w:r>
          <w:rPr>
            <w:color w:val="0A3A8C"/>
            <w:u w:val="single"/>
          </w:rPr>
          <w:t xml:space="preserve">§ 131</w:t>
        </w:r>
      </w:hyperlink>
      <w:r>
        <w:t xml:space="preserve"> Absatz 2 Satz 2 gilt entsprechend.</w:t>
      </w:r>
    </w:p>
    <w:p>
      <w:r>
        <w:t>(6) Die Gesellschaft kann sich in der Einberufung vorbehalten, die Funktionsfähigkeit der Videokommunikation zwischen Aktionär und Gesellschaft in der Versammlung und vor dem Redebeitrag zu überprüfen und diesen zurückzuweisen, sofern die Funktionsfähigkeit nicht sichergestellt ist.</w:t>
      </w:r>
    </w:p>
    <w:p>
      <w:pPr>
        <w:pStyle w:val="Heading5"/>
      </w:pPr>
      <w:bookmarkStart w:id="167" w:name="b166"/>
      <w:r>
        <w:t>§ 131 Auskunftsrecht des Aktionärs</w:t>
      </w:r>
      <w:r>
        <w:t xml:space="preserve"> </w:t>
      </w:r>
      <w:r>
        <w:rPr>
          <w:rStyle w:val="Suchmarke"/>
        </w:rPr>
        <w:t>#131#</w:t>
      </w:r>
      <w:bookmarkEnd w:id="167"/>
    </w:p>
    <w:p>
      <w:r>
        <w:t xml:space="preserve">(1) </w:t>
      </w:r>
      <w:r>
        <w:rPr>
          <w:rStyle w:val="Satznummer"/>
        </w:rPr>
        <w:t>1</w:t>
      </w:r>
      <w:r>
        <w:t xml:space="preserve">Jedem Aktionär ist auf Verlangen in der Hauptversammlung vom Vorstand Auskunft über Angelegenheiten der Gesellschaft zu geben, soweit sie zur sachgemäßen Beurteilung des Gegenstands der Tagesordnung erforderlich ist. </w:t>
      </w:r>
      <w:r>
        <w:rPr>
          <w:rStyle w:val="Satznummer"/>
        </w:rPr>
        <w:t>2</w:t>
      </w:r>
      <w:r>
        <w:t xml:space="preserve">Die Auskunftspflicht erstreckt sich auch auf die rechtlichen und geschäftlichen Beziehungen der Gesellschaft zu einem verbundenen Unternehmen. </w:t>
      </w:r>
      <w:r>
        <w:rPr>
          <w:rStyle w:val="Satznummer"/>
        </w:rPr>
        <w:t>3</w:t>
      </w:r>
      <w:r>
        <w:t xml:space="preserve">Macht eine Gesellschaft von den Erleichterungen nach § 266 Absatz 1 Satz 3, § 276 oder § 288 des Handelsgesetzbuchs Gebrauch, so kann jeder Aktionär verlangen, dass ihm in der Hauptversammlung über den Jahresabschluss der Jahresabschluss in der Form vorgelegt wird, die er ohne diese Erleichterungen hätte. </w:t>
      </w:r>
      <w:r>
        <w:rPr>
          <w:rStyle w:val="Satznummer"/>
        </w:rPr>
        <w:t>4</w:t>
      </w:r>
      <w:r>
        <w:t>Die Auskunftspflicht des Vorstands eines Mutterunternehmens (§ 290 Abs. 1, 2 des Handelsgesetzbuchs) in der Hauptversammlung, der der Konzernabschluss und der Konzernlagebericht vorgelegt werden, erstreckt sich auch auf die Lage des Konzerns und der in den Konzernabschluss einbezogenen Unternehmen.</w:t>
      </w:r>
    </w:p>
    <w:p>
      <w:r>
        <w:t xml:space="preserve">(1a) </w:t>
      </w:r>
      <w:r>
        <w:rPr>
          <w:rStyle w:val="Satznummer"/>
        </w:rPr>
        <w:t>1</w:t>
      </w:r>
      <w:r>
        <w:t xml:space="preserve">Im Fall der virtuellen Hauptversammlung ist Absatz 1 Satz 1 mit der Maßgabe anzuwenden, dass der Vorstand vorgeben kann, dass Fragen der Aktionäre bis spätestens drei Tage vor der Versammlung im Wege der elektronischen Kommunikation einzureichen sind. </w:t>
      </w:r>
      <w:r>
        <w:rPr>
          <w:rStyle w:val="Satznummer"/>
        </w:rPr>
        <w:t>2</w:t>
      </w:r>
      <w:r>
        <w:t xml:space="preserve">Für die Berechnung der Frist gilt </w:t>
      </w:r>
      <w:hyperlink w:anchor="b152" w:history="1">
        <w:r>
          <w:rPr>
            <w:color w:val="0A3A8C"/>
            <w:u w:val="single"/>
          </w:rPr>
          <w:t xml:space="preserve">§ 121</w:t>
        </w:r>
      </w:hyperlink>
      <w:r>
        <w:t xml:space="preserve"> Absatz 7. </w:t>
      </w:r>
      <w:r>
        <w:rPr>
          <w:rStyle w:val="Satznummer"/>
        </w:rPr>
        <w:t>3</w:t>
      </w:r>
      <w:r>
        <w:t>Nicht fristgerecht eingereichte Fragen müssen nicht berücksichtigt werden.</w:t>
      </w:r>
    </w:p>
    <w:p>
      <w:r>
        <w:t xml:space="preserve">(1b) </w:t>
      </w:r>
      <w:r>
        <w:rPr>
          <w:rStyle w:val="Satznummer"/>
        </w:rPr>
        <w:t>1</w:t>
      </w:r>
      <w:r>
        <w:t xml:space="preserve">Der Umfang der Einreichung von Fragen kann in der Einberufung angemessen beschränkt werden. </w:t>
      </w:r>
      <w:r>
        <w:rPr>
          <w:rStyle w:val="Satznummer"/>
        </w:rPr>
        <w:t>2</w:t>
      </w:r>
      <w:r>
        <w:t>Das Recht zur Einreichung von Fragen kann auf ordnungsgemäß zu der Versammlung angemeldete Aktionäre beschränkt werden.</w:t>
      </w:r>
    </w:p>
    <w:p>
      <w:r>
        <w:t xml:space="preserve">(1c) </w:t>
      </w:r>
      <w:r>
        <w:rPr>
          <w:rStyle w:val="Satznummer"/>
        </w:rPr>
        <w:t>1</w:t>
      </w:r>
      <w:r>
        <w:t xml:space="preserve">Die Gesellschaft hat ordnungsgemäß eingereichte Fragen vor der Versammlung allen Aktionären zugänglich zu machen und bis spätestens einen Tag vor der Versammlung zu beantworten; für die Berechnung der Frist gilt </w:t>
      </w:r>
      <w:hyperlink w:anchor="b152" w:history="1">
        <w:r>
          <w:rPr>
            <w:color w:val="0A3A8C"/>
            <w:u w:val="single"/>
          </w:rPr>
          <w:t xml:space="preserve">§ 121</w:t>
        </w:r>
      </w:hyperlink>
      <w:r>
        <w:t xml:space="preserve"> Absatz 7. </w:t>
      </w:r>
      <w:r>
        <w:rPr>
          <w:rStyle w:val="Satznummer"/>
        </w:rPr>
        <w:t>2</w:t>
      </w:r>
      <w:r>
        <w:t xml:space="preserve">Bei börsennotierten Gesellschaften haben das Zugänglichmachen der Fragen und deren Beantwortung über die Internetseite der Gesellschaft zu erfolgen. </w:t>
      </w:r>
      <w:r>
        <w:rPr>
          <w:rStyle w:val="Satznummer"/>
        </w:rPr>
        <w:t>3</w:t>
      </w:r>
      <w:hyperlink w:anchor="b158" w:history="1">
        <w:r>
          <w:rPr>
            <w:color w:val="0A3A8C"/>
            <w:u w:val="single"/>
          </w:rPr>
          <w:t xml:space="preserve">§ 126</w:t>
        </w:r>
      </w:hyperlink>
      <w:r>
        <w:t xml:space="preserve"> Absatz 2 Satz 1 Nummer 1, 3 und 6 gilt für das Zugänglichmachen der Fragen entsprechend. </w:t>
      </w:r>
      <w:r>
        <w:rPr>
          <w:rStyle w:val="Satznummer"/>
        </w:rPr>
        <w:t>4</w:t>
      </w:r>
      <w:r>
        <w:t>Sind die Antworten einen Tag vor Beginn und in der Versammlung durchgängig zugänglich, darf der Vorstand in der Versammlung die Auskunft zu diesen Fragen verweigern.</w:t>
      </w:r>
    </w:p>
    <w:p>
      <w:r>
        <w:t xml:space="preserve">(1d) </w:t>
      </w:r>
      <w:r>
        <w:rPr>
          <w:rStyle w:val="Satznummer"/>
        </w:rPr>
        <w:t>1</w:t>
      </w:r>
      <w:r>
        <w:t xml:space="preserve">Jedem elektronisch zu der Versammlung zugeschalteten Aktionär ist in der Versammlung im Wege der elektronischen Kommunikation ein Nachfragerecht zu allen vor und in der Versammlung gegebenen Antworten des Vorstands einzuräumen. </w:t>
      </w:r>
      <w:r>
        <w:rPr>
          <w:rStyle w:val="Satznummer"/>
        </w:rPr>
        <w:t>2</w:t>
      </w:r>
      <w:r>
        <w:t>Absatz 2 Satz 2 gilt auch für das Nachfragerecht.</w:t>
      </w:r>
    </w:p>
    <w:p>
      <w:r>
        <w:t xml:space="preserve">(1e) </w:t>
      </w:r>
      <w:r>
        <w:rPr>
          <w:rStyle w:val="Satznummer"/>
        </w:rPr>
        <w:t>1</w:t>
      </w:r>
      <w:r>
        <w:t xml:space="preserve">Zudem ist jedem elektronisch zu der Versammlung zugeschalteten Aktionär in der Versammlung im Wege der elektronischen Kommunikation das Recht einzuräumen, Fragen zu Sachverhalten zu stellen, die sich erst nach Ablauf der Frist nach Absatz 1a Satz 1 ergeben haben. </w:t>
      </w:r>
      <w:r>
        <w:rPr>
          <w:rStyle w:val="Satznummer"/>
        </w:rPr>
        <w:t>2</w:t>
      </w:r>
      <w:r>
        <w:t>Absatz 2 Satz 2 gilt auch für dieses Fragerecht.</w:t>
      </w:r>
    </w:p>
    <w:p>
      <w:r>
        <w:t>(1f) Der Versammlungsleiter kann festlegen, dass das Auskunftsrecht nach Absatz 1, das Nachfragerecht nach Absatz 1d und das Fragerecht nach Absatz 1e in der Hauptversammlung ausschließlich im Wege der Videokommunikation ausgeübt werden dürfen.</w:t>
      </w:r>
    </w:p>
    <w:p>
      <w:r>
        <w:t xml:space="preserve">(2) </w:t>
      </w:r>
      <w:r>
        <w:rPr>
          <w:rStyle w:val="Satznummer"/>
        </w:rPr>
        <w:t>1</w:t>
      </w:r>
      <w:r>
        <w:t xml:space="preserve">Die Auskunft hat den Grundsätzen einer gewissenhaften und getreuen Rechenschaft zu entsprechen. </w:t>
      </w:r>
      <w:r>
        <w:rPr>
          <w:rStyle w:val="Satznummer"/>
        </w:rPr>
        <w:t>2</w:t>
      </w:r>
      <w:r>
        <w:t xml:space="preserve">Die Satzung oder die Geschäftsordnung gemäß </w:t>
      </w:r>
      <w:hyperlink w:anchor="b163" w:history="1">
        <w:r>
          <w:rPr>
            <w:color w:val="0A3A8C"/>
            <w:u w:val="single"/>
          </w:rPr>
          <w:t xml:space="preserve">§ 129</w:t>
        </w:r>
      </w:hyperlink>
      <w:r>
        <w:t xml:space="preserve"> kann den Versammlungsleiter ermächtigen, das Frage- und Rederecht des Aktionärs zeitlich angemessen zu beschränken, und Näheres dazu bestimmen.</w:t>
      </w:r>
    </w:p>
    <w:p>
      <w:r>
        <w:t xml:space="preserve">(3) </w:t>
      </w:r>
      <w:r>
        <w:rPr>
          <w:rStyle w:val="Satznummer"/>
        </w:rPr>
        <w:t>1</w:t>
      </w:r>
      <w:r>
        <w:t>Der Vorstand darf die Auskunft verweigern,</w:t>
      </w:r>
    </w:p>
    <w:p>
      <w:pPr>
        <w:tabs>
          <w:tab w:pos="567" w:val="left"/>
        </w:tabs>
        <w:ind w:left="567" w:hanging="567"/>
      </w:pPr>
      <w:r>
        <w:t>1.</w:t>
      </w:r>
      <w:r>
        <w:tab/>
      </w:r>
      <w:r>
        <w:t>soweit die Erteilung der Auskunft nach vernünftiger kaufmännischer Beurteilung geeignet ist, der Gesellschaft oder einem verbundenen Unternehmen einen nicht unerheblichen Nachteil zuzufügen;</w:t>
      </w:r>
    </w:p>
    <w:p>
      <w:pPr>
        <w:tabs>
          <w:tab w:pos="567" w:val="left"/>
        </w:tabs>
        <w:ind w:left="567" w:hanging="567"/>
      </w:pPr>
      <w:r>
        <w:t>2.</w:t>
      </w:r>
      <w:r>
        <w:tab/>
      </w:r>
      <w:r>
        <w:t>soweit sie sich auf steuerliche Wertansätze oder die Höhe einzelner Steuern bezieht;</w:t>
      </w:r>
    </w:p>
    <w:p>
      <w:pPr>
        <w:tabs>
          <w:tab w:pos="567" w:val="left"/>
        </w:tabs>
        <w:ind w:left="567" w:hanging="567"/>
      </w:pPr>
      <w:r>
        <w:t>3.</w:t>
      </w:r>
      <w:r>
        <w:tab/>
      </w:r>
      <w:r>
        <w:t>über den Unterschied zwischen dem Wert, mit dem Gegenstände in der Jahresbilanz angesetzt worden sind, und einem höheren Wert dieser Gegenstände, es sei denn, daß die Hauptversammlung den Jahresabschluß feststellt;</w:t>
      </w:r>
    </w:p>
    <w:p>
      <w:pPr>
        <w:tabs>
          <w:tab w:pos="567" w:val="left"/>
        </w:tabs>
        <w:ind w:left="567" w:hanging="567"/>
      </w:pPr>
      <w:r>
        <w:t>4.</w:t>
      </w:r>
      <w:r>
        <w:tab/>
      </w:r>
      <w:r>
        <w:t>über die Bilanzierungs- und Bewertungsmethoden, soweit die Angabe dieser Methoden im Anhang ausreicht, um ein den tatsächlichen Verhältnissen entsprechendes Bild der Vermögens-, Finanz- und Ertragslage der Gesellschaft im Sinne des § 264 Abs. 2 des Handelsgesetzbuchs zu vermitteln; dies gilt nicht, wenn die Hauptversammlung den Jahresabschluß feststellt;</w:t>
      </w:r>
    </w:p>
    <w:p>
      <w:pPr>
        <w:tabs>
          <w:tab w:pos="567" w:val="left"/>
        </w:tabs>
        <w:ind w:left="567" w:hanging="567"/>
      </w:pPr>
      <w:r>
        <w:t>5.</w:t>
      </w:r>
      <w:r>
        <w:tab/>
      </w:r>
      <w:r>
        <w:t>soweit sich der Vorstand durch die Erteilung der Auskunft strafbar machen würde;</w:t>
      </w:r>
    </w:p>
    <w:p>
      <w:pPr>
        <w:tabs>
          <w:tab w:pos="567" w:val="left"/>
        </w:tabs>
        <w:ind w:left="567" w:hanging="567"/>
      </w:pPr>
      <w:r>
        <w:t>6.</w:t>
      </w:r>
      <w:r>
        <w:tab/>
      </w:r>
      <w:r>
        <w:t>soweit bei einem Kreditinstitut, einem Finanzdienstleistungsinstitut oder einem Wertpapierinstitut Angaben über angewandte Bilanzierungs- und Bewertungsmethoden sowie vorgenommene Verrechnungen im Jahresabschluß, Lagebericht, Konzernabschluß oder Konzernlagebericht nicht gemacht zu werden brauchen;</w:t>
      </w:r>
    </w:p>
    <w:p>
      <w:pPr>
        <w:tabs>
          <w:tab w:pos="567" w:val="left"/>
        </w:tabs>
        <w:ind w:left="567" w:hanging="567"/>
      </w:pPr>
      <w:r>
        <w:t>7.</w:t>
      </w:r>
      <w:r>
        <w:tab/>
      </w:r>
      <w:r>
        <w:t>soweit die Auskunft auf der Internetseite der Gesellschaft über mindestens sieben Tage vor Beginn und in der Hauptversammlung durchgängig zugänglich ist.</w:t>
      </w:r>
    </w:p>
    <w:p>
      <w:r>
        <w:rPr>
          <w:rStyle w:val="Satznummer"/>
        </w:rPr>
        <w:t>2</w:t>
      </w:r>
      <w:r>
        <w:t>Aus anderen Gründen darf die Auskunft nicht verweigert werden.</w:t>
      </w:r>
    </w:p>
    <w:p>
      <w:r>
        <w:t xml:space="preserve">(4) </w:t>
      </w:r>
      <w:r>
        <w:rPr>
          <w:rStyle w:val="Satznummer"/>
        </w:rPr>
        <w:t>1</w:t>
      </w:r>
      <w:r>
        <w:t xml:space="preserve">Ist einem Aktionär wegen seiner Eigenschaft als Aktionär eine Auskunft außerhalb der Hauptversammlung gegeben worden, so ist sie jedem anderen Aktionär auf dessen Verlangen in der Hauptversammlung zu geben, auch wenn sie zur sachgemäßen Beurteilung des Gegenstands der Tagesordnung nicht erforderlich ist. </w:t>
      </w:r>
      <w:r>
        <w:rPr>
          <w:rStyle w:val="Satznummer"/>
        </w:rPr>
        <w:t>2</w:t>
      </w:r>
      <w:r>
        <w:t xml:space="preserve">Im Fall der virtuellen Hauptversammlung ist zu gewährleisten, dass jeder elektronisch zu der Versammlung zugeschaltete Aktionär sein Verlangen nach Satz 1 im Wege der elektronischen Kommunikation übermitteln kann. </w:t>
      </w:r>
      <w:r>
        <w:rPr>
          <w:rStyle w:val="Satznummer"/>
        </w:rPr>
        <w:t>3</w:t>
      </w:r>
      <w:r>
        <w:t xml:space="preserve">Der Vorstand darf die Auskunft nicht nach Absatz 3 Satz 1 Nr. 1 bis 4 verweigern. </w:t>
      </w:r>
      <w:r>
        <w:rPr>
          <w:rStyle w:val="Satznummer"/>
        </w:rPr>
        <w:t>4</w:t>
      </w:r>
      <w:r>
        <w:t>Die Sätze 1 bis 3 gelten nicht, wenn ein Tochterunternehmen (§ 290 Abs. 1, 2 des Handelsgesetzbuchs), ein Gemeinschaftsunternehmen (§ 310 Abs. 1 des Handelsgesetzbuchs) oder ein assoziiertes Unternehmen (§ 311 Abs. 1 des Handelsgesetzbuchs) die Auskunft einem Mutterunternehmen (§ 290 Abs. 1, 2 des Handelsgesetzbuchs) zum Zwecke der Einbeziehung der Gesellschaft in den Konzernabschluß des Mutterunternehmens erteilt und die Auskunft für diesen Zweck benötigt wird.</w:t>
      </w:r>
    </w:p>
    <w:p>
      <w:r>
        <w:t xml:space="preserve">(5) </w:t>
      </w:r>
      <w:r>
        <w:rPr>
          <w:rStyle w:val="Satznummer"/>
        </w:rPr>
        <w:t>1</w:t>
      </w:r>
      <w:r>
        <w:t xml:space="preserve">Wird einem Aktionär eine Auskunft verweigert, so kann er verlangen, daß seine Frage und der Grund, aus dem die Auskunft verweigert worden ist, in die Niederschrift über die Verhandlung aufgenommen werden. </w:t>
      </w:r>
      <w:r>
        <w:rPr>
          <w:rStyle w:val="Satznummer"/>
        </w:rPr>
        <w:t>2</w:t>
      </w:r>
      <w:r>
        <w:t>Im Fall der virtuellen Hauptversammlung ist zu gewährleisten, dass jeder elektronisch zu der Versammlung zugeschaltete Aktionär sein Verlangen nach Satz 1 im Wege der elektronischen Kommunikation übermitteln kann.</w:t>
      </w:r>
    </w:p>
    <w:p>
      <w:pPr>
        <w:pStyle w:val="Heading5"/>
      </w:pPr>
      <w:bookmarkStart w:id="168" w:name="b167"/>
      <w:r>
        <w:t>§ 132 Gerichtliche Entscheidung über das Auskunftsrecht</w:t>
      </w:r>
      <w:r>
        <w:t xml:space="preserve"> </w:t>
      </w:r>
      <w:r>
        <w:rPr>
          <w:rStyle w:val="Suchmarke"/>
        </w:rPr>
        <w:t>#132#</w:t>
      </w:r>
      <w:bookmarkEnd w:id="168"/>
    </w:p>
    <w:p>
      <w:r>
        <w:t>(1) Ob der Vorstand die Auskunft zu geben hat, entscheidet auf Antrag ausschließlich das Landgericht, in dessen Bezirk die Gesellschaft ihren Sitz hat.</w:t>
      </w:r>
    </w:p>
    <w:p>
      <w:r>
        <w:t xml:space="preserve">(2) </w:t>
      </w:r>
      <w:r>
        <w:rPr>
          <w:rStyle w:val="Satznummer"/>
        </w:rPr>
        <w:t>1</w:t>
      </w:r>
      <w:r>
        <w:t xml:space="preserve">Antragsberechtigt ist jeder Aktionär, dem die verlangte Auskunft nicht gegeben worden ist, und, wenn über den Gegenstand der Tagesordnung, auf den sich die Auskunft bezog, Beschluß gefaßt worden ist, jeder in der Hauptversammlung erschienene Aktionär, der in der Hauptversammlung Widerspruch zur Niederschrift erklärt hat. </w:t>
      </w:r>
      <w:r>
        <w:rPr>
          <w:rStyle w:val="Satznummer"/>
        </w:rPr>
        <w:t>2</w:t>
      </w:r>
      <w:r>
        <w:t>Im Fall der virtuellen Hauptversammlung sind folgende elektronisch zugeschaltete Aktionäre antragsberechtigt:</w:t>
      </w:r>
    </w:p>
    <w:p>
      <w:pPr>
        <w:tabs>
          <w:tab w:pos="567" w:val="left"/>
        </w:tabs>
        <w:ind w:left="567" w:hanging="567"/>
      </w:pPr>
      <w:r>
        <w:t>1.</w:t>
      </w:r>
      <w:r>
        <w:tab/>
      </w:r>
      <w:r>
        <w:t>jeder Aktionär, dem die verlangte Auskunft nicht gegeben worden ist,</w:t>
      </w:r>
    </w:p>
    <w:p>
      <w:pPr>
        <w:tabs>
          <w:tab w:pos="567" w:val="left"/>
        </w:tabs>
        <w:ind w:left="567" w:hanging="567"/>
      </w:pPr>
      <w:r>
        <w:t>2.</w:t>
      </w:r>
      <w:r>
        <w:tab/>
      </w:r>
      <w:r>
        <w:t>jeder Aktionär, der Widerspruch im Wege elektronischer Kommunikation erklärt hat, wenn über den Gegenstand der Tagesordnung, auf den sich die Auskunft bezog, Beschluss gefasst worden ist.</w:t>
      </w:r>
    </w:p>
    <w:p>
      <w:r>
        <w:rPr>
          <w:rStyle w:val="Satznummer"/>
        </w:rPr>
        <w:t>3</w:t>
      </w:r>
      <w:r>
        <w:t>Der Antrag ist binnen zwei Wochen nach der Hauptversammlung zu stellen, in der die Auskunft abgelehnt worden ist.</w:t>
      </w:r>
    </w:p>
    <w:p>
      <w:r>
        <w:t xml:space="preserve">(3) </w:t>
      </w:r>
      <w:r>
        <w:rPr>
          <w:rStyle w:val="Satznummer"/>
        </w:rPr>
        <w:t>1</w:t>
      </w:r>
      <w:hyperlink w:anchor="b121" w:history="1">
        <w:r>
          <w:rPr>
            <w:color w:val="0A3A8C"/>
            <w:u w:val="single"/>
          </w:rPr>
          <w:t xml:space="preserve">§ 99</w:t>
        </w:r>
      </w:hyperlink>
      <w:r>
        <w:t xml:space="preserve"> Abs. 1, 3 Satz 1, 2 und 4 bis 6 sowie Abs. 5 Satz 1 und 3 gilt entsprechend. </w:t>
      </w:r>
      <w:r>
        <w:rPr>
          <w:rStyle w:val="Satznummer"/>
        </w:rPr>
        <w:t>2</w:t>
      </w:r>
      <w:r>
        <w:t xml:space="preserve">Die Beschwerde findet nur statt, wenn das Landgericht sie in der Entscheidung für zulässig erklärt. </w:t>
      </w:r>
      <w:r>
        <w:rPr>
          <w:rStyle w:val="Satznummer"/>
        </w:rPr>
        <w:t>3</w:t>
      </w:r>
      <w:r>
        <w:t>§ 70 Abs. 2 des Gesetzes über das Verfahren in Familiensachen und in den Angelegenheiten der freiwilligen Gerichtsbarkeit ist entsprechend anzuwenden.</w:t>
      </w:r>
    </w:p>
    <w:p>
      <w:r>
        <w:t xml:space="preserve">(4) </w:t>
      </w:r>
      <w:r>
        <w:rPr>
          <w:rStyle w:val="Satznummer"/>
        </w:rPr>
        <w:t>1</w:t>
      </w:r>
      <w:r>
        <w:t xml:space="preserve">Wird dem Antrag stattgegeben, so ist die Auskunft auch außerhalb der Hauptversammlung zu geben. </w:t>
      </w:r>
      <w:r>
        <w:rPr>
          <w:rStyle w:val="Satznummer"/>
        </w:rPr>
        <w:t>2</w:t>
      </w:r>
      <w:r>
        <w:t>Aus der Entscheidung findet die Zwangsvollstreckung nach den Vorschriften der Zivilprozeßordnung statt.</w:t>
      </w:r>
    </w:p>
    <w:p>
      <w:r>
        <w:t>(5) Das mit dem Verfahren befaßte Gericht bestimmt nach billigem Ermessen, welchem Beteiligten die Kosten des Verfahrens aufzuerlegen sind.</w:t>
      </w:r>
    </w:p>
    <w:p>
      <w:pPr>
        <w:pStyle w:val="Heading4"/>
      </w:pPr>
      <w:bookmarkStart w:id="169" w:name="b168"/>
      <w:r>
        <w:t>Vierter Unterabschnitt Stimmrecht</w:t>
      </w:r>
      <w:bookmarkEnd w:id="169"/>
    </w:p>
    <w:p>
      <w:pPr>
        <w:pStyle w:val="Heading5"/>
      </w:pPr>
      <w:bookmarkStart w:id="170" w:name="b169"/>
      <w:r>
        <w:t>§ 133 Grundsatz der einfachen Stimmenmehrheit</w:t>
      </w:r>
      <w:r>
        <w:t xml:space="preserve"> </w:t>
      </w:r>
      <w:r>
        <w:rPr>
          <w:rStyle w:val="Suchmarke"/>
        </w:rPr>
        <w:t>#133#</w:t>
      </w:r>
      <w:bookmarkEnd w:id="170"/>
    </w:p>
    <w:p>
      <w:r>
        <w:t>(1) Die Beschlüsse der Hauptversammlung bedürfen der Mehrheit der abgegebenen Stimmen (einfache Stimmenmehrheit), soweit nicht Gesetz oder Satzung eine größere Mehrheit oder weitere Erfordernisse bestimmen.</w:t>
      </w:r>
    </w:p>
    <w:p>
      <w:r>
        <w:t>(2) Für Wahlen kann die Satzung andere Bestimmungen treffen.</w:t>
      </w:r>
    </w:p>
    <w:p>
      <w:pPr>
        <w:pStyle w:val="Heading5"/>
      </w:pPr>
      <w:bookmarkStart w:id="171" w:name="b170"/>
      <w:r>
        <w:t>§ 134 Stimmrecht</w:t>
      </w:r>
      <w:r>
        <w:t xml:space="preserve"> </w:t>
      </w:r>
      <w:r>
        <w:rPr>
          <w:rStyle w:val="Suchmarke"/>
        </w:rPr>
        <w:t>#134#</w:t>
      </w:r>
      <w:bookmarkEnd w:id="171"/>
    </w:p>
    <w:p>
      <w:r>
        <w:t xml:space="preserve">(1) </w:t>
      </w:r>
      <w:r>
        <w:rPr>
          <w:rStyle w:val="Satznummer"/>
        </w:rPr>
        <w:t>1</w:t>
      </w:r>
      <w:r>
        <w:t xml:space="preserve">Das Stimmrecht wird nach Aktiennennbeträgen, bei Stückaktien nach deren Zahl ausgeübt. </w:t>
      </w:r>
      <w:r>
        <w:rPr>
          <w:rStyle w:val="Satznummer"/>
        </w:rPr>
        <w:t>2</w:t>
      </w:r>
      <w:r>
        <w:t xml:space="preserve">Für den Fall, daß einem Aktionär mehrere Aktien gehören, kann bei einer nichtbörsennotierten Gesellschaft die Satzung das Stimmrecht durch Festsetzung eines Höchstbetrags oder von Abstufungen beschränken. </w:t>
      </w:r>
      <w:r>
        <w:rPr>
          <w:rStyle w:val="Satznummer"/>
        </w:rPr>
        <w:t>3</w:t>
      </w:r>
      <w:r>
        <w:t xml:space="preserve">Die Satzung kann außerdem bestimmen, daß zu den Aktien, die dem Aktionär gehören, auch die Aktien rechnen, die einem anderen für seine Rechnung gehören. </w:t>
      </w:r>
      <w:r>
        <w:rPr>
          <w:rStyle w:val="Satznummer"/>
        </w:rPr>
        <w:t>4</w:t>
      </w:r>
      <w:r>
        <w:t xml:space="preserve">Für den Fall, daß der Aktionär ein Unternehmen ist, kann sie ferner bestimmen, daß zu den Aktien, die ihm gehören, auch die Aktien rechnen, die einem von ihm abhängigen oder ihn beherrschenden oder einem mit ihm konzernverbundenen Unternehmen oder für Rechnung solcher Unternehmen einem Dritten gehören. </w:t>
      </w:r>
      <w:r>
        <w:rPr>
          <w:rStyle w:val="Satznummer"/>
        </w:rPr>
        <w:t>5</w:t>
      </w:r>
      <w:r>
        <w:t xml:space="preserve">Die Beschränkungen können nicht für einzelne Aktionäre angeordnet werden. </w:t>
      </w:r>
      <w:r>
        <w:rPr>
          <w:rStyle w:val="Satznummer"/>
        </w:rPr>
        <w:t>6</w:t>
      </w:r>
      <w:r>
        <w:t>Bei der Berechnung einer nach Gesetz oder Satzung erforderlichen Kapitalmehrheit bleiben die Beschränkungen außer Betracht.</w:t>
      </w:r>
    </w:p>
    <w:p>
      <w:r>
        <w:t xml:space="preserve">(2) </w:t>
      </w:r>
      <w:r>
        <w:rPr>
          <w:rStyle w:val="Satznummer"/>
        </w:rPr>
        <w:t>1</w:t>
      </w:r>
      <w:r>
        <w:t xml:space="preserve">Das Stimmrecht beginnt mit der vollständigen Leistung der Einlage. </w:t>
      </w:r>
      <w:r>
        <w:rPr>
          <w:rStyle w:val="Satznummer"/>
        </w:rPr>
        <w:t>2</w:t>
      </w:r>
      <w:r>
        <w:t xml:space="preserve">Entspricht der Wert einer verdeckten Sacheinlage nicht dem in </w:t>
      </w:r>
      <w:hyperlink w:anchor="b41" w:history="1">
        <w:r>
          <w:rPr>
            <w:color w:val="0A3A8C"/>
            <w:u w:val="single"/>
          </w:rPr>
          <w:t xml:space="preserve">§ 36a</w:t>
        </w:r>
      </w:hyperlink>
      <w:r>
        <w:t xml:space="preserve"> Abs. 2 Satz 3 genannten Wert, so steht dies dem Beginn des Stimmrechts nicht entgegen; das gilt nicht, wenn der Wertunterschied offensichtlich ist. </w:t>
      </w:r>
      <w:r>
        <w:rPr>
          <w:rStyle w:val="Satznummer"/>
        </w:rPr>
        <w:t>3</w:t>
      </w:r>
      <w:r>
        <w:t xml:space="preserve">Die Satzung kann bestimmen, daß das Stimmrecht beginnt, wenn auf die Aktie die gesetzliche oder höhere satzungsmäßige Mindesteinlage geleistet ist. </w:t>
      </w:r>
      <w:r>
        <w:rPr>
          <w:rStyle w:val="Satznummer"/>
        </w:rPr>
        <w:t>4</w:t>
      </w:r>
      <w:r>
        <w:t xml:space="preserve">In diesem Fall gewährt die Leistung der Mindesteinlage eine Stimme; bei höheren Einlagen richtet sich das Stimmenverhältnis nach der Höhe der geleisteten Einlagen. </w:t>
      </w:r>
      <w:r>
        <w:rPr>
          <w:rStyle w:val="Satznummer"/>
        </w:rPr>
        <w:t>5</w:t>
      </w:r>
      <w:r>
        <w:t xml:space="preserve">Bestimmt die Satzung nicht, daß das Stimmrecht vor der vollständigen Leistung der Einlage beginnt, und ist noch auf keine Aktie die Einlage vollständig geleistet, so richtet sich das Stimmenverhältnis nach der Höhe der geleisteten Einlagen; dabei gewährt die Leistung der Mindesteinlage eine Stimme. </w:t>
      </w:r>
      <w:r>
        <w:rPr>
          <w:rStyle w:val="Satznummer"/>
        </w:rPr>
        <w:t>6</w:t>
      </w:r>
      <w:r>
        <w:t xml:space="preserve">Bruchteile von Stimmen werden in diesen Fällen nur berücksichtigt, soweit sie für den stimmberechtigten Aktionär volle Stimmen ergeben. </w:t>
      </w:r>
      <w:r>
        <w:rPr>
          <w:rStyle w:val="Satznummer"/>
        </w:rPr>
        <w:t>7</w:t>
      </w:r>
      <w:r>
        <w:t>Die Satzung kann Bestimmungen nach diesem Absatz nicht für einzelne Aktionäre oder für einzelne Aktiengattungen treffen.</w:t>
      </w:r>
    </w:p>
    <w:p>
      <w:r>
        <w:t xml:space="preserve">(3) </w:t>
      </w:r>
      <w:r>
        <w:rPr>
          <w:rStyle w:val="Satznummer"/>
        </w:rPr>
        <w:t>1</w:t>
      </w:r>
      <w:r>
        <w:t xml:space="preserve">Das Stimmrecht kann durch einen Bevollmächtigten ausgeübt werden. </w:t>
      </w:r>
      <w:r>
        <w:rPr>
          <w:rStyle w:val="Satznummer"/>
        </w:rPr>
        <w:t>2</w:t>
      </w:r>
      <w:r>
        <w:t xml:space="preserve">Bevollmächtigt der Aktionär mehr als eine Person, so kann die Gesellschaft eine oder mehrere von diesen zurückweisen. </w:t>
      </w:r>
      <w:r>
        <w:rPr>
          <w:rStyle w:val="Satznummer"/>
        </w:rPr>
        <w:t>3</w:t>
      </w:r>
      <w:r>
        <w:t xml:space="preserve">Die Erteilung der Vollmacht, ihr Widerruf und der Nachweis der Bevollmächtigung gegenüber der Gesellschaft bedürfen der Textform, wenn in der Satzung oder in der Einberufung auf Grund einer Ermächtigung durch die Satzung nichts Abweichendes und bei börsennotierten Gesellschaften nicht eine Erleichterung bestimmt wird. </w:t>
      </w:r>
      <w:r>
        <w:rPr>
          <w:rStyle w:val="Satznummer"/>
        </w:rPr>
        <w:t>4</w:t>
      </w:r>
      <w:r>
        <w:t xml:space="preserve">Die börsennotierte Gesellschaft hat zumindest einen Weg elektronischer Kommunikation für die Übermittlung des Nachweises anzubieten. </w:t>
      </w:r>
      <w:r>
        <w:rPr>
          <w:rStyle w:val="Satznummer"/>
        </w:rPr>
        <w:t>5</w:t>
      </w:r>
      <w:r>
        <w:t xml:space="preserve">Werden von der Gesellschaft benannte Stimmrechtsvertreter bevollmächtigt, so ist die Vollmachtserklärung von der Gesellschaft drei Jahre nachprüfbar festzuhalten; </w:t>
      </w:r>
      <w:hyperlink w:anchor="b175" w:history="1">
        <w:r>
          <w:rPr>
            <w:color w:val="0A3A8C"/>
            <w:u w:val="single"/>
          </w:rPr>
          <w:t xml:space="preserve">§ 135</w:t>
        </w:r>
      </w:hyperlink>
      <w:r>
        <w:t xml:space="preserve"> Abs. 5 gilt entsprechend.</w:t>
      </w:r>
    </w:p>
    <w:p>
      <w:r>
        <w:t>(4) Die Form der Ausübung des Stimmrechts richtet sich nach der Satzung.</w:t>
      </w:r>
    </w:p>
    <w:p>
      <w:pPr>
        <w:pStyle w:val="Heading5"/>
      </w:pPr>
      <w:bookmarkStart w:id="172" w:name="b171"/>
      <w:r>
        <w:t>§ 134a Begriffsbestimmungen; Anwendungsbereich</w:t>
      </w:r>
      <w:r>
        <w:t xml:space="preserve"> </w:t>
      </w:r>
      <w:r>
        <w:rPr>
          <w:rStyle w:val="Suchmarke"/>
        </w:rPr>
        <w:t>#134a#</w:t>
      </w:r>
      <w:bookmarkEnd w:id="172"/>
    </w:p>
    <w:p>
      <w:r>
        <w:t xml:space="preserve">(1) Im Sinne der </w:t>
      </w:r>
      <w:hyperlink w:anchor="b172" w:history="1">
        <w:r>
          <w:rPr>
            <w:color w:val="0A3A8C"/>
            <w:u w:val="single"/>
          </w:rPr>
          <w:t xml:space="preserve">§§ 134b</w:t>
        </w:r>
      </w:hyperlink>
      <w:r>
        <w:t xml:space="preserve"> bis </w:t>
      </w:r>
      <w:hyperlink w:anchor="b175" w:history="1">
        <w:r>
          <w:rPr>
            <w:color w:val="0A3A8C"/>
            <w:u w:val="single"/>
          </w:rPr>
          <w:t xml:space="preserve">135</w:t>
        </w:r>
      </w:hyperlink>
      <w:r>
        <w:t xml:space="preserve"> ist</w:t>
      </w:r>
    </w:p>
    <w:p>
      <w:pPr>
        <w:tabs>
          <w:tab w:pos="567" w:val="left"/>
        </w:tabs>
        <w:ind w:left="567" w:hanging="567"/>
      </w:pPr>
      <w:r>
        <w:t>1.</w:t>
      </w:r>
      <w:r>
        <w:tab/>
      </w:r>
      <w:r>
        <w:t>institutioneller Anleger:</w:t>
      </w:r>
    </w:p>
    <w:p>
      <w:pPr>
        <w:tabs>
          <w:tab w:pos="1134" w:val="left"/>
        </w:tabs>
        <w:ind w:left="1134" w:hanging="567"/>
      </w:pPr>
      <w:r>
        <w:t>a)</w:t>
      </w:r>
      <w:r>
        <w:tab/>
      </w:r>
      <w:r>
        <w:t xml:space="preserve">ein Unternehmen mit Erlaubnis zum Betrieb der Lebensversicherung im Sinne des </w:t>
      </w:r>
      <w:hyperlink w:anchor="b10" w:history="1">
        <w:r>
          <w:rPr>
            <w:color w:val="0A3A8C"/>
            <w:u w:val="single"/>
          </w:rPr>
          <w:t xml:space="preserve">§ 8</w:t>
        </w:r>
      </w:hyperlink>
      <w:r>
        <w:t xml:space="preserve"> Absatz 1 in Verbindung mit Anlage 1 Nummer 19 bis 24 des Versicherungsaufsichtsgesetzes,</w:t>
      </w:r>
    </w:p>
    <w:p>
      <w:pPr>
        <w:tabs>
          <w:tab w:pos="1134" w:val="left"/>
        </w:tabs>
        <w:ind w:left="1134" w:hanging="567"/>
      </w:pPr>
      <w:r>
        <w:t>b)</w:t>
      </w:r>
      <w:r>
        <w:tab/>
      </w:r>
      <w:r>
        <w:t>ein Unternehmen mit Erlaubnis zum Betrieb der Rückversicherung im Sinne des § 8 Absatz 1 und 4 des Versicherungsaufsichtsgesetzes, sofern sich diese Tätigkeiten auf Lebensversicherungsverpflichtungen beziehen,</w:t>
      </w:r>
    </w:p>
    <w:p>
      <w:pPr>
        <w:tabs>
          <w:tab w:pos="1134" w:val="left"/>
        </w:tabs>
        <w:ind w:left="1134" w:hanging="567"/>
      </w:pPr>
      <w:r>
        <w:t>c)</w:t>
      </w:r>
      <w:r>
        <w:tab/>
      </w:r>
      <w:r>
        <w:t>eine Einrichtung der betrieblichen Altersversorgung gemäß den §§ 232 bis 244d des Versicherungsaufsichtsgesetzes;</w:t>
      </w:r>
    </w:p>
    <w:p>
      <w:pPr>
        <w:tabs>
          <w:tab w:pos="567" w:val="left"/>
        </w:tabs>
        <w:ind w:left="567" w:hanging="567"/>
      </w:pPr>
      <w:r>
        <w:t>2.</w:t>
      </w:r>
      <w:r>
        <w:tab/>
      </w:r>
      <w:r>
        <w:t>Vermögensverwalter:</w:t>
      </w:r>
    </w:p>
    <w:p>
      <w:pPr>
        <w:tabs>
          <w:tab w:pos="1134" w:val="left"/>
        </w:tabs>
        <w:ind w:left="1134" w:hanging="567"/>
      </w:pPr>
      <w:r>
        <w:t>a)</w:t>
      </w:r>
      <w:r>
        <w:tab/>
      </w:r>
      <w:r>
        <w:t>ein Finanzdienstleistungsinstitut mit Erlaubnis zur Erbringung der Finanzportfolioverwaltung im Sinne des § 1 Absatz 1a Satz 2 Nummer 3 des Kreditwesengesetzes,</w:t>
      </w:r>
    </w:p>
    <w:p>
      <w:pPr>
        <w:tabs>
          <w:tab w:pos="1134" w:val="left"/>
        </w:tabs>
        <w:ind w:left="1134" w:hanging="567"/>
      </w:pPr>
      <w:r>
        <w:t>b)</w:t>
      </w:r>
      <w:r>
        <w:tab/>
      </w:r>
      <w:r>
        <w:t>ein Wertpapierinstitut mit Erlaubnis zur Erbringung der Finanzportfolioverwaltung im Sinne des § 2 Absatz 2 Nummer 9 des Wertpapierinstitutsgesetzes,</w:t>
      </w:r>
    </w:p>
    <w:p>
      <w:pPr>
        <w:tabs>
          <w:tab w:pos="1134" w:val="left"/>
        </w:tabs>
        <w:ind w:left="1134" w:hanging="567"/>
      </w:pPr>
      <w:r>
        <w:t>c)</w:t>
      </w:r>
      <w:r>
        <w:tab/>
      </w:r>
      <w:r>
        <w:t>eine Kapitalverwaltungsgesellschaft mit Erlaubnis gemäß § 20 Absatz 1 des Kapitalanlagegesetzbuchs;</w:t>
      </w:r>
    </w:p>
    <w:p>
      <w:pPr>
        <w:tabs>
          <w:tab w:pos="567" w:val="left"/>
        </w:tabs>
        <w:ind w:left="567" w:hanging="567"/>
      </w:pPr>
      <w:r>
        <w:t>3.</w:t>
      </w:r>
      <w:r>
        <w:tab/>
      </w:r>
      <w:r>
        <w:t>Stimmrechtsberater:</w:t>
      </w:r>
    </w:p>
    <w:p>
      <w:pPr>
        <w:ind w:left="567"/>
      </w:pPr>
      <w:r>
        <w:t>ein Unternehmen, das gewerbsmäßig und entgeltlich Offenlegungen und andere Informationen von börsennotierten Gesellschaften analysiert, um Anleger zu Zwecken der Stimmausübung durch Recherchen, Beratungen oder Stimmempfehlungen zu informieren.</w:t>
      </w:r>
    </w:p>
    <w:p>
      <w:r>
        <w:t xml:space="preserve">(2) Für institutionelle Anleger, Vermögensverwalter und Stimmrechtsberater sind die </w:t>
      </w:r>
      <w:hyperlink w:anchor="b172" w:history="1">
        <w:r>
          <w:rPr>
            <w:color w:val="0A3A8C"/>
            <w:u w:val="single"/>
          </w:rPr>
          <w:t xml:space="preserve">§§ 134b</w:t>
        </w:r>
      </w:hyperlink>
      <w:r>
        <w:t xml:space="preserve"> bis </w:t>
      </w:r>
      <w:hyperlink w:anchor="b175" w:history="1">
        <w:r>
          <w:rPr>
            <w:color w:val="0A3A8C"/>
            <w:u w:val="single"/>
          </w:rPr>
          <w:t xml:space="preserve">135</w:t>
        </w:r>
      </w:hyperlink>
      <w:r>
        <w:t xml:space="preserve"> nur anwendbar, soweit sie den folgenden Bestimmungen der Richtlinie 2007/36/EG des Europäischen Parlaments und des Rates vom 11. Juli 2007 über die Ausübung bestimmter Rechte von Aktionären in börsennotierten Gesellschaften (ABl. L 184 vom 14.7.2007, S. 17), die zuletzt durch die Richtlinie (EU) 2017/828 (ABl. L 132 vom 20.5.2017, S. 1) geändert worden ist, unterfallen:</w:t>
      </w:r>
    </w:p>
    <w:p>
      <w:pPr>
        <w:tabs>
          <w:tab w:pos="567" w:val="left"/>
        </w:tabs>
        <w:ind w:left="567" w:hanging="567"/>
      </w:pPr>
      <w:r>
        <w:t>1.</w:t>
      </w:r>
      <w:r>
        <w:tab/>
      </w:r>
      <w:r>
        <w:t>für institutionelle Anleger: Artikel 1 Absatz 2 Buchstabe a und Absatz 6 Buchstabe a,</w:t>
      </w:r>
    </w:p>
    <w:p>
      <w:pPr>
        <w:tabs>
          <w:tab w:pos="567" w:val="left"/>
        </w:tabs>
        <w:ind w:left="567" w:hanging="567"/>
      </w:pPr>
      <w:r>
        <w:t>2.</w:t>
      </w:r>
      <w:r>
        <w:tab/>
      </w:r>
      <w:r>
        <w:t>für Vermögensverwalter: Artikel 1 Absatz 2 Buchstabe a und Absatz 6 Buchstabe b, und</w:t>
      </w:r>
    </w:p>
    <w:p>
      <w:pPr>
        <w:tabs>
          <w:tab w:pos="567" w:val="left"/>
        </w:tabs>
        <w:ind w:left="567" w:hanging="567"/>
      </w:pPr>
      <w:r>
        <w:t>3.</w:t>
      </w:r>
      <w:r>
        <w:tab/>
      </w:r>
      <w:r>
        <w:t>für Stimmrechtsberater: Artikel 1 Absatz 2 Buchstabe b und Absatz 6 Buchstabe c sowie Artikel 3j Absatz 4.</w:t>
      </w:r>
    </w:p>
    <w:p>
      <w:pPr>
        <w:pStyle w:val="Heading5"/>
      </w:pPr>
      <w:bookmarkStart w:id="173" w:name="b172"/>
      <w:r>
        <w:t>§ 134b Mitwirkungspolitik, Mitwirkungsbericht, Abstimmungsverhalten</w:t>
      </w:r>
      <w:r>
        <w:t xml:space="preserve"> </w:t>
      </w:r>
      <w:r>
        <w:rPr>
          <w:rStyle w:val="Suchmarke"/>
        </w:rPr>
        <w:t>#134b#</w:t>
      </w:r>
      <w:bookmarkEnd w:id="173"/>
    </w:p>
    <w:p>
      <w:r>
        <w:t>(1) Institutionelle Anleger und Vermögensverwalter haben eine Politik, in der sie ihre Mitwirkung in den Portfoliogesellschaften beschreiben (Mitwirkungspolitik), und in der insbesondere folgende Punkte behandelt werden, zu veröffentlichen:</w:t>
      </w:r>
    </w:p>
    <w:p>
      <w:pPr>
        <w:tabs>
          <w:tab w:pos="567" w:val="left"/>
        </w:tabs>
        <w:ind w:left="567" w:hanging="567"/>
      </w:pPr>
      <w:r>
        <w:t>1.</w:t>
      </w:r>
      <w:r>
        <w:tab/>
      </w:r>
      <w:r>
        <w:t>die Ausübung von Aktionärsrechten, insbesondere im Rahmen ihrer Anlagestrategie,</w:t>
      </w:r>
    </w:p>
    <w:p>
      <w:pPr>
        <w:tabs>
          <w:tab w:pos="567" w:val="left"/>
        </w:tabs>
        <w:ind w:left="567" w:hanging="567"/>
      </w:pPr>
      <w:r>
        <w:t>2.</w:t>
      </w:r>
      <w:r>
        <w:tab/>
      </w:r>
      <w:r>
        <w:t>die Überwachung wichtiger Angelegenheiten der Portfoliogesellschaften,</w:t>
      </w:r>
    </w:p>
    <w:p>
      <w:pPr>
        <w:tabs>
          <w:tab w:pos="567" w:val="left"/>
        </w:tabs>
        <w:ind w:left="567" w:hanging="567"/>
      </w:pPr>
      <w:r>
        <w:t>3.</w:t>
      </w:r>
      <w:r>
        <w:tab/>
      </w:r>
      <w:r>
        <w:t xml:space="preserve">der </w:t>
      </w:r>
      <w:r>
        <w:rPr>
          <w:i/>
        </w:rPr>
        <w:t>Meinungsaustausch</w:t>
      </w:r>
      <w:r>
        <w:t xml:space="preserve"> mit den Gesellschaftsorganen und den Interessenträgern der Gesellschaft,</w:t>
      </w:r>
    </w:p>
    <w:p>
      <w:pPr>
        <w:tabs>
          <w:tab w:pos="567" w:val="left"/>
        </w:tabs>
        <w:ind w:left="567" w:hanging="567"/>
      </w:pPr>
      <w:r>
        <w:t>4.</w:t>
      </w:r>
      <w:r>
        <w:tab/>
      </w:r>
      <w:r>
        <w:t>die Zusammenarbeit mit anderen Aktionären sowie</w:t>
      </w:r>
    </w:p>
    <w:p>
      <w:pPr>
        <w:tabs>
          <w:tab w:pos="567" w:val="left"/>
        </w:tabs>
        <w:ind w:left="567" w:hanging="567"/>
      </w:pPr>
      <w:r>
        <w:t>5.</w:t>
      </w:r>
      <w:r>
        <w:tab/>
      </w:r>
      <w:r>
        <w:t>der Umgang mit Interessenkonflikten.</w:t>
      </w:r>
    </w:p>
    <w:p>
      <w:r>
        <w:t xml:space="preserve">(2) </w:t>
      </w:r>
      <w:r>
        <w:rPr>
          <w:rStyle w:val="Satznummer"/>
        </w:rPr>
        <w:t>1</w:t>
      </w:r>
      <w:r>
        <w:t xml:space="preserve">Institutionelle Anleger und Vermögensverwalter haben jährlich über die Umsetzung der Mitwirkungspolitik zu berichten. </w:t>
      </w:r>
      <w:r>
        <w:rPr>
          <w:rStyle w:val="Satznummer"/>
        </w:rPr>
        <w:t>2</w:t>
      </w:r>
      <w:r>
        <w:t>Der Bericht enthält Erläuterungen allgemeiner Art zum Abstimmungsverhalten, zu den wichtigsten Abstimmungen und zum Einsatz von Stimmrechtsberatern.</w:t>
      </w:r>
    </w:p>
    <w:p>
      <w:r>
        <w:t>(3) Institutionelle Anleger und Vermögensverwalter haben ihr Abstimmungsverhalten zu veröffentlichen, es sei denn, die Stimmabgabe war wegen des Gegenstands der Abstimmung oder des Umfangs der Beteiligung unbedeutend.</w:t>
      </w:r>
    </w:p>
    <w:p>
      <w:r>
        <w:t>(4) Erfüllen institutionelle Anleger und Vermögensverwalter eine oder mehrere der Vorgaben der Absätze 1 bis 3 nicht oder nicht vollständig, haben sie zu erklären, warum sie dies nicht tun.</w:t>
      </w:r>
    </w:p>
    <w:p>
      <w:r>
        <w:t xml:space="preserve">(5) </w:t>
      </w:r>
      <w:r>
        <w:rPr>
          <w:rStyle w:val="Satznummer"/>
        </w:rPr>
        <w:t>1</w:t>
      </w:r>
      <w:r>
        <w:t xml:space="preserve">Die Informationen nach den Absätzen 1 bis 4 sind für mindestens drei Jahre auf der Internetseite der institutionellen Anleger und der Vermögensverwalter öffentlich zugänglich zu machen und mindestens jährlich zu aktualisieren. </w:t>
      </w:r>
      <w:r>
        <w:rPr>
          <w:rStyle w:val="Satznummer"/>
        </w:rPr>
        <w:t>2</w:t>
      </w:r>
      <w:r>
        <w:t>Davon abweichend können institutionelle Anleger auf die Internetseite der Vermögensverwalter oder andere kostenfrei und öffentlich zugängliche Internetseiten verweisen, wenn dort die Informationen nach den Absätzen 1 bis 4 verfügbar sind.</w:t>
      </w:r>
    </w:p>
    <w:p>
      <w:pPr>
        <w:pStyle w:val="Heading5"/>
      </w:pPr>
      <w:bookmarkStart w:id="174" w:name="b173"/>
      <w:r>
        <w:t>§ 134c Offenlegungspflichten von institutionellen Anlegern und Vermögensverwaltern</w:t>
      </w:r>
      <w:r>
        <w:t xml:space="preserve"> </w:t>
      </w:r>
      <w:r>
        <w:rPr>
          <w:rStyle w:val="Suchmarke"/>
        </w:rPr>
        <w:t>#134c#</w:t>
      </w:r>
      <w:bookmarkEnd w:id="174"/>
    </w:p>
    <w:p>
      <w:r>
        <w:t>(1) Institutionelle Anleger haben offenzulegen, inwieweit die Hauptelemente ihrer Anlagestrategie dem Profil und der Laufzeit ihrer Verbindlichkeiten entsprechen und wie sie zur mittel- bis langfristigen Wertentwicklung ihrer Vermögenswerte beitragen.</w:t>
      </w:r>
    </w:p>
    <w:p>
      <w:r>
        <w:t xml:space="preserve">(2) </w:t>
      </w:r>
      <w:r>
        <w:rPr>
          <w:rStyle w:val="Satznummer"/>
        </w:rPr>
        <w:t>1</w:t>
      </w:r>
      <w:r>
        <w:t xml:space="preserve">Handelt ein Vermögensverwalter für einen institutionellen Anleger, hat der institutionelle Anleger solche Angaben über die Vereinbarungen mit dem Vermögensverwalter offenzulegen, die erläutern, wie der Vermögensverwalter seine Anlagestrategie und Anlageentscheidungen auf das Profil und die Laufzeit der Verbindlichkeiten des institutionellen Anlegers abstimmt. </w:t>
      </w:r>
      <w:r>
        <w:rPr>
          <w:rStyle w:val="Satznummer"/>
        </w:rPr>
        <w:t>2</w:t>
      </w:r>
      <w:r>
        <w:t>Die Offenlegung umfasst insbesondere Angaben</w:t>
      </w:r>
    </w:p>
    <w:p>
      <w:pPr>
        <w:tabs>
          <w:tab w:pos="567" w:val="left"/>
        </w:tabs>
        <w:ind w:left="567" w:hanging="567"/>
      </w:pPr>
      <w:r>
        <w:t>1.</w:t>
      </w:r>
      <w:r>
        <w:tab/>
      </w:r>
      <w:r>
        <w:t>zur Berücksichtigung der mittel- bis langfristigen Entwicklung der Gesellschaft bei der Anlageentscheidung,</w:t>
      </w:r>
    </w:p>
    <w:p>
      <w:pPr>
        <w:tabs>
          <w:tab w:pos="567" w:val="left"/>
        </w:tabs>
        <w:ind w:left="567" w:hanging="567"/>
      </w:pPr>
      <w:r>
        <w:t>2.</w:t>
      </w:r>
      <w:r>
        <w:tab/>
      </w:r>
      <w:r>
        <w:t>zur Mitwirkung in der Gesellschaft, insbesondere durch Ausübung der Aktionärsrechte, einschließlich der Wertpapierleihe,</w:t>
      </w:r>
    </w:p>
    <w:p>
      <w:pPr>
        <w:tabs>
          <w:tab w:pos="567" w:val="left"/>
        </w:tabs>
        <w:ind w:left="567" w:hanging="567"/>
      </w:pPr>
      <w:r>
        <w:t>3.</w:t>
      </w:r>
      <w:r>
        <w:tab/>
      </w:r>
      <w:r>
        <w:t>zu Methode, Leistungsbewertung und Vergütung des Vermögensverwalters,</w:t>
      </w:r>
    </w:p>
    <w:p>
      <w:pPr>
        <w:tabs>
          <w:tab w:pos="567" w:val="left"/>
        </w:tabs>
        <w:ind w:left="567" w:hanging="567"/>
      </w:pPr>
      <w:r>
        <w:t>4.</w:t>
      </w:r>
      <w:r>
        <w:tab/>
      </w:r>
      <w:r>
        <w:t>zur Überwachung des vereinbarten Portfolioumsatzes und der angestrebten Portfolioumsatzkosten durch den institutionellen Anleger,</w:t>
      </w:r>
    </w:p>
    <w:p>
      <w:pPr>
        <w:tabs>
          <w:tab w:pos="567" w:val="left"/>
        </w:tabs>
        <w:ind w:left="567" w:hanging="567"/>
      </w:pPr>
      <w:r>
        <w:t>5.</w:t>
      </w:r>
      <w:r>
        <w:tab/>
      </w:r>
      <w:r>
        <w:t>zur Laufzeit der Vereinbarung mit dem Vermögensverwalter.</w:t>
      </w:r>
    </w:p>
    <w:p>
      <w:r>
        <w:rPr>
          <w:rStyle w:val="Satznummer"/>
        </w:rPr>
        <w:t>3</w:t>
      </w:r>
      <w:r>
        <w:t>Wurde zu einzelnen Angaben keine Vereinbarung getroffen, hat der institutionelle Anleger zu erklären, warum dies nicht geschehen ist.</w:t>
      </w:r>
    </w:p>
    <w:p>
      <w:r>
        <w:t xml:space="preserve">(3) </w:t>
      </w:r>
      <w:r>
        <w:rPr>
          <w:rStyle w:val="Satznummer"/>
        </w:rPr>
        <w:t>1</w:t>
      </w:r>
      <w:r>
        <w:t xml:space="preserve">Institutionelle Anleger haben die Informationen nach den Absätzen 1 und 2 im Bundesanzeiger oder auf ihrer Internetseite für einen Zeitraum von mindestens drei Jahren öffentlich zugänglich zu machen und mindestens jährlich zu aktualisieren. </w:t>
      </w:r>
      <w:r>
        <w:rPr>
          <w:rStyle w:val="Satznummer"/>
        </w:rPr>
        <w:t>2</w:t>
      </w:r>
      <w:r>
        <w:t>Die Veröffentlichung kann auch durch den Vermögensverwalter auf dessen Internetseite oder auf einer anderen kostenfrei und öffentlich zugänglichen Internetseite erfolgen; in diesem Fall genügt die Angabe der Internetseite, auf der die Informationen zu finden sind.</w:t>
      </w:r>
    </w:p>
    <w:p>
      <w:r>
        <w:t xml:space="preserve">(4) </w:t>
      </w:r>
      <w:r>
        <w:rPr>
          <w:rStyle w:val="Satznummer"/>
        </w:rPr>
        <w:t>1</w:t>
      </w:r>
      <w:r>
        <w:t xml:space="preserve">Vermögensverwalter, die eine Vereinbarung nach Absatz 2 geschlossen haben, haben den institutionellen Anlegern jährlich zu berichten, wie ihre Anlagestrategie und deren Umsetzung mit dieser Vereinbarung im Einklang stehen und zur mittel- bis langfristigen Wertentwicklung der Vermögenswerte beitragen. </w:t>
      </w:r>
      <w:r>
        <w:rPr>
          <w:rStyle w:val="Satznummer"/>
        </w:rPr>
        <w:t>2</w:t>
      </w:r>
      <w:r>
        <w:t xml:space="preserve">Statt des Berichts an den institutionellen Anleger kann auch eine Veröffentlichung des Berichts entsprechend Absatz 3 Satz 2 erfolgen. </w:t>
      </w:r>
      <w:r>
        <w:rPr>
          <w:rStyle w:val="Satznummer"/>
        </w:rPr>
        <w:t>3</w:t>
      </w:r>
      <w:r>
        <w:t>Der Bericht enthält Angaben</w:t>
      </w:r>
    </w:p>
    <w:p>
      <w:pPr>
        <w:tabs>
          <w:tab w:pos="567" w:val="left"/>
        </w:tabs>
        <w:ind w:left="567" w:hanging="567"/>
      </w:pPr>
      <w:r>
        <w:t>1.</w:t>
      </w:r>
      <w:r>
        <w:tab/>
      </w:r>
      <w:r>
        <w:t>über die wesentlichen mittel- bis langfristigen Risiken,</w:t>
      </w:r>
    </w:p>
    <w:p>
      <w:pPr>
        <w:tabs>
          <w:tab w:pos="567" w:val="left"/>
        </w:tabs>
        <w:ind w:left="567" w:hanging="567"/>
      </w:pPr>
      <w:r>
        <w:t>2.</w:t>
      </w:r>
      <w:r>
        <w:tab/>
      </w:r>
      <w:r>
        <w:t>über die Zusammensetzung des Portfolios, die Portfolioumsätze und die Portfolioumsatzkosten,</w:t>
      </w:r>
    </w:p>
    <w:p>
      <w:pPr>
        <w:tabs>
          <w:tab w:pos="567" w:val="left"/>
        </w:tabs>
        <w:ind w:left="567" w:hanging="567"/>
      </w:pPr>
      <w:r>
        <w:t>3.</w:t>
      </w:r>
      <w:r>
        <w:tab/>
      </w:r>
      <w:r>
        <w:t>zur Berücksichtigung der mittel- bis langfristigen Entwicklung der Gesellschaft bei der Anlageentscheidung,</w:t>
      </w:r>
    </w:p>
    <w:p>
      <w:pPr>
        <w:tabs>
          <w:tab w:pos="567" w:val="left"/>
        </w:tabs>
        <w:ind w:left="567" w:hanging="567"/>
      </w:pPr>
      <w:r>
        <w:t>4.</w:t>
      </w:r>
      <w:r>
        <w:tab/>
      </w:r>
      <w:r>
        <w:t>zum Einsatz von Stimmrechtsberatern,</w:t>
      </w:r>
    </w:p>
    <w:p>
      <w:pPr>
        <w:tabs>
          <w:tab w:pos="567" w:val="left"/>
        </w:tabs>
        <w:ind w:left="567" w:hanging="567"/>
      </w:pPr>
      <w:r>
        <w:t>5.</w:t>
      </w:r>
      <w:r>
        <w:tab/>
      </w:r>
      <w:r>
        <w:t>zur Handhabung der Wertpapierleihe und zum Umgang mit Interessenkonflikten im Rahmen der Mitwirkung in den Gesellschaften, insbesondere durch Ausübung von Aktionärsrechten.</w:t>
      </w:r>
    </w:p>
    <w:p>
      <w:pPr>
        <w:pStyle w:val="Heading5"/>
      </w:pPr>
      <w:bookmarkStart w:id="175" w:name="b174"/>
      <w:r>
        <w:t>§ 134d Offenlegungspflichten der Stimmrechtsberater</w:t>
      </w:r>
      <w:r>
        <w:t xml:space="preserve"> </w:t>
      </w:r>
      <w:r>
        <w:rPr>
          <w:rStyle w:val="Suchmarke"/>
        </w:rPr>
        <w:t>#134d#</w:t>
      </w:r>
      <w:bookmarkEnd w:id="175"/>
    </w:p>
    <w:p>
      <w:r>
        <w:t xml:space="preserve">(1) </w:t>
      </w:r>
      <w:r>
        <w:rPr>
          <w:rStyle w:val="Satznummer"/>
        </w:rPr>
        <w:t>1</w:t>
      </w:r>
      <w:r>
        <w:t xml:space="preserve">Stimmrechtsberater haben jährlich zu erklären, dass sie den Vorgaben eines näher bezeichneten Verhaltenskodex entsprochen haben und entsprechen oder welche Vorgaben des Verhaltenskodex sie nicht eingehalten haben und einhalten und welche Maßnahmen sie stattdessen getroffen haben. </w:t>
      </w:r>
      <w:r>
        <w:rPr>
          <w:rStyle w:val="Satznummer"/>
        </w:rPr>
        <w:t>2</w:t>
      </w:r>
      <w:r>
        <w:t>Wenn Stimmrechtsberater keinen Verhaltenskodex einhalten, haben sie zu erklären, warum nicht.</w:t>
      </w:r>
    </w:p>
    <w:p>
      <w:r>
        <w:t>(2) Stimmrechtsberater veröffentlichen jährlich Informationen</w:t>
      </w:r>
    </w:p>
    <w:p>
      <w:pPr>
        <w:tabs>
          <w:tab w:pos="567" w:val="left"/>
        </w:tabs>
        <w:ind w:left="567" w:hanging="567"/>
      </w:pPr>
      <w:r>
        <w:t>1.</w:t>
      </w:r>
      <w:r>
        <w:tab/>
      </w:r>
      <w:r>
        <w:t>zu den wesentlichen Merkmalen der eingesetzten Methoden und Modelle sowie ihren Hauptinformationsquellen,</w:t>
      </w:r>
    </w:p>
    <w:p>
      <w:pPr>
        <w:tabs>
          <w:tab w:pos="567" w:val="left"/>
        </w:tabs>
        <w:ind w:left="567" w:hanging="567"/>
      </w:pPr>
      <w:r>
        <w:t>2.</w:t>
      </w:r>
      <w:r>
        <w:tab/>
      </w:r>
      <w:r>
        <w:t>zu den zur Qualitätssicherung sowie zur Vermeidung und zur Behandlung von potentiellen Interessenkonflikten eingesetzten Verfahren,</w:t>
      </w:r>
    </w:p>
    <w:p>
      <w:pPr>
        <w:tabs>
          <w:tab w:pos="567" w:val="left"/>
        </w:tabs>
        <w:ind w:left="567" w:hanging="567"/>
      </w:pPr>
      <w:r>
        <w:t>3.</w:t>
      </w:r>
      <w:r>
        <w:tab/>
      </w:r>
      <w:r>
        <w:t>zur Qualifikation der an der Stimmrechtsberatung beteiligten Mitarbeiter,</w:t>
      </w:r>
    </w:p>
    <w:p>
      <w:pPr>
        <w:tabs>
          <w:tab w:pos="567" w:val="left"/>
        </w:tabs>
        <w:ind w:left="567" w:hanging="567"/>
      </w:pPr>
      <w:r>
        <w:t>4.</w:t>
      </w:r>
      <w:r>
        <w:tab/>
      </w:r>
      <w:r>
        <w:t>zur Art und Weise, wie nationale Marktbedingungen sowie rechtliche, regulatorische und unternehmensspezifische Bedingungen berücksichtigt werden,</w:t>
      </w:r>
    </w:p>
    <w:p>
      <w:pPr>
        <w:tabs>
          <w:tab w:pos="567" w:val="left"/>
        </w:tabs>
        <w:ind w:left="567" w:hanging="567"/>
      </w:pPr>
      <w:r>
        <w:t>5.</w:t>
      </w:r>
      <w:r>
        <w:tab/>
      </w:r>
      <w:r>
        <w:t>zu den wesentlichen Merkmalen der verfolgten Stimmrechtspolitik für die einzelnen Märkte,</w:t>
      </w:r>
    </w:p>
    <w:p>
      <w:pPr>
        <w:tabs>
          <w:tab w:pos="567" w:val="left"/>
        </w:tabs>
        <w:ind w:left="567" w:hanging="567"/>
      </w:pPr>
      <w:r>
        <w:t>6.</w:t>
      </w:r>
      <w:r>
        <w:tab/>
      </w:r>
      <w:r>
        <w:t>dazu, wie und wie oft das Gespräch mit den betroffenen Gesellschaften und deren Interessenträgern gesucht wird.</w:t>
      </w:r>
    </w:p>
    <w:p>
      <w:r>
        <w:t>(3) Die Informationen nach den Absätzen 1 und 2 sind gesondert oder gebündelt auf der Internetseite des Stimmrechtsberaters für mindestens drei Jahre öffentlich zugänglich zu machen und jährlich zu aktualisieren.</w:t>
      </w:r>
    </w:p>
    <w:p>
      <w:r>
        <w:t>(4) Stimmrechtsberater haben ihre Kunden unverzüglich über Interessenkonflikte sowie über diesbezügliche Gegenmaßnahmen zu informieren.</w:t>
      </w:r>
    </w:p>
    <w:p>
      <w:pPr>
        <w:pStyle w:val="Heading5"/>
      </w:pPr>
      <w:bookmarkStart w:id="176" w:name="b175"/>
      <w:r>
        <w:t>§ 135 Ausübung des Stimmrechts durch Intermediäre und geschäftsmäßig Handelnde</w:t>
      </w:r>
      <w:r>
        <w:t xml:space="preserve"> </w:t>
      </w:r>
      <w:r>
        <w:rPr>
          <w:rStyle w:val="Suchmarke"/>
        </w:rPr>
        <w:t>#135#</w:t>
      </w:r>
      <w:bookmarkEnd w:id="176"/>
    </w:p>
    <w:p>
      <w:r>
        <w:t xml:space="preserve">(1) </w:t>
      </w:r>
      <w:r>
        <w:rPr>
          <w:rStyle w:val="Satznummer"/>
        </w:rPr>
        <w:t>1</w:t>
      </w:r>
      <w:r>
        <w:t xml:space="preserve">Ein Intermediär darf das Stimmrecht für Aktien, die ihm nicht gehören und als deren Inhaber er nicht im Aktienregister eingetragen ist, nur ausüben, wenn er bevollmächtigt ist. </w:t>
      </w:r>
      <w:r>
        <w:rPr>
          <w:rStyle w:val="Satznummer"/>
        </w:rPr>
        <w:t>2</w:t>
      </w:r>
      <w:r>
        <w:t xml:space="preserve">Die Vollmacht darf nur einem bestimmten Intermediär erteilt werden und ist von diesem nachprüfbar festzuhalten. </w:t>
      </w:r>
      <w:r>
        <w:rPr>
          <w:rStyle w:val="Satznummer"/>
        </w:rPr>
        <w:t>3</w:t>
      </w:r>
      <w:r>
        <w:t xml:space="preserve">Die Vollmachtserklärung muss vollständig sein und darf nur mit der Stimmrechtsausübung verbundene Erklärungen enthalten. </w:t>
      </w:r>
      <w:r>
        <w:rPr>
          <w:rStyle w:val="Satznummer"/>
        </w:rPr>
        <w:t>4</w:t>
      </w:r>
      <w:r>
        <w:t>Erteilt der Aktionär keine ausdrücklichen Weisungen, so kann eine generelle Vollmacht nur die Berechtigung des Intermediärs zur Stimmrechtsausübung</w:t>
      </w:r>
    </w:p>
    <w:p>
      <w:pPr>
        <w:tabs>
          <w:tab w:pos="567" w:val="left"/>
        </w:tabs>
        <w:ind w:left="567" w:hanging="567"/>
      </w:pPr>
      <w:r>
        <w:t>1.</w:t>
      </w:r>
      <w:r>
        <w:tab/>
      </w:r>
      <w:r>
        <w:t>entsprechend eigenen Abstimmungsvorschlägen (Absätze 2 und 3) oder</w:t>
      </w:r>
    </w:p>
    <w:p>
      <w:pPr>
        <w:tabs>
          <w:tab w:pos="567" w:val="left"/>
        </w:tabs>
        <w:ind w:left="567" w:hanging="567"/>
      </w:pPr>
      <w:r>
        <w:t>2.</w:t>
      </w:r>
      <w:r>
        <w:tab/>
      </w:r>
      <w:r>
        <w:t>entsprechend den Vorschlägen des Vorstands oder des Aufsichtsrats oder für den Fall voneinander abweichender Vorschläge den Vorschlägen des Aufsichtsrats (Absatz 4)</w:t>
      </w:r>
    </w:p>
    <w:p>
      <w:r>
        <w:t xml:space="preserve">vorsehen. </w:t>
      </w:r>
      <w:r>
        <w:rPr>
          <w:rStyle w:val="Satznummer"/>
        </w:rPr>
        <w:t>5</w:t>
      </w:r>
      <w:r>
        <w:t xml:space="preserve">Bietet der Intermediär die Stimmrechtsausübung gemäß Satz 4 Nr. 1 oder Nr. 2 an, so hat er sich zugleich zu erbieten, im Rahmen des Zumutbaren und bis auf Widerruf einer Aktionärsvereinigung oder einem sonstigen Vertreter nach Wahl des Aktionärs die zur Stimmrechtsausübung erforderlichen Unterlagen zuzuleiten. </w:t>
      </w:r>
      <w:r>
        <w:rPr>
          <w:rStyle w:val="Satznummer"/>
        </w:rPr>
        <w:t>6</w:t>
      </w:r>
      <w:r>
        <w:t xml:space="preserve">Der Intermediär hat den Aktionär jährlich und deutlich hervorgehoben auf die Möglichkeiten des jederzeitigen Widerrufs der Vollmacht und der Änderung des Bevollmächtigten hinzuweisen. </w:t>
      </w:r>
      <w:r>
        <w:rPr>
          <w:rStyle w:val="Satznummer"/>
        </w:rPr>
        <w:t>7</w:t>
      </w:r>
      <w:r>
        <w:t>Die Erteilung von Weisungen zu den einzelnen Tagesordnungspunkten, die Erteilung und der Widerruf einer generellen Vollmacht nach Satz 4 und eines Auftrags nach Satz 5 einschließlich seiner Änderung sind dem Aktionär durch ein Formblatt oder Bildschirmformular zu erleichtern.</w:t>
      </w:r>
    </w:p>
    <w:p>
      <w:r>
        <w:t xml:space="preserve">(2) </w:t>
      </w:r>
      <w:r>
        <w:rPr>
          <w:rStyle w:val="Satznummer"/>
        </w:rPr>
        <w:t>1</w:t>
      </w:r>
      <w:r>
        <w:t xml:space="preserve">Ein Intermediär, der das Stimmrecht auf Grund einer Vollmacht nach Absatz 1 Satz 4 Nr. 1 ausüben will, hat dem Aktionär rechtzeitig eigene Vorschläge für die Ausübung des Stimmrechts zu den einzelnen Gegenständen der Tagesordnung zugänglich zu machen. </w:t>
      </w:r>
      <w:r>
        <w:rPr>
          <w:rStyle w:val="Satznummer"/>
        </w:rPr>
        <w:t>2</w:t>
      </w:r>
      <w:r>
        <w:t xml:space="preserve">Bei diesen Vorschlägen hat sich der Intermediär vom Interesse des Aktionärs leiten zu lassen und organisatorische Vorkehrungen dafür zu treffen, dass Eigeninteressen aus anderen Geschäftsbereichen nicht einfließen; er hat ein Mitglied der Geschäftsleitung zu benennen, das die Einhaltung dieser Pflichten sowie die ordnungsgemäße Ausübung des Stimmrechts und deren Dokumentation zu überwachen hat. </w:t>
      </w:r>
      <w:r>
        <w:rPr>
          <w:rStyle w:val="Satznummer"/>
        </w:rPr>
        <w:t>3</w:t>
      </w:r>
      <w:r>
        <w:t xml:space="preserve">Zusammen mit seinen Vorschlägen hat der Intermediär darauf hinzuweisen, dass er das Stimmrecht entsprechend den eigenen Vorschlägen ausüben werde, wenn der Aktionär nicht rechtzeitig eine andere Weisung erteilt. </w:t>
      </w:r>
      <w:r>
        <w:rPr>
          <w:rStyle w:val="Satznummer"/>
        </w:rPr>
        <w:t>4</w:t>
      </w:r>
      <w:r>
        <w:t xml:space="preserve">Gehört ein Vorstandsmitglied oder ein Mitarbeiter des Intermediärs dem Aufsichtsrat der Gesellschaft oder ein Vorstandsmitglied oder ein Mitarbeiter der Gesellschaft dem Aufsichtsrat des Intermediärs an, so hat der Intermediär hierauf hinzuweisen. </w:t>
      </w:r>
      <w:r>
        <w:rPr>
          <w:rStyle w:val="Satznummer"/>
        </w:rPr>
        <w:t>5</w:t>
      </w:r>
      <w:r>
        <w:t>Gleiches gilt, wenn der Intermediär an der Gesellschaft eine Beteiligung hält, die nach § 33 des Wertpapierhandelsgesetzes meldepflichtig ist, oder einem Konsortium angehörte, das die innerhalb von fünf Jahren zeitlich letzte Emission von Wertpapieren der Gesellschaft übernommen hat.</w:t>
      </w:r>
    </w:p>
    <w:p>
      <w:r>
        <w:t xml:space="preserve">(3) </w:t>
      </w:r>
      <w:r>
        <w:rPr>
          <w:rStyle w:val="Satznummer"/>
        </w:rPr>
        <w:t>1</w:t>
      </w:r>
      <w:r>
        <w:t xml:space="preserve">Hat der Aktionär dem Intermediär keine Weisung für die Ausübung des Stimmrechts erteilt, so hat der Intermediär im Falle des Absatzes 1 Satz 4 Nr. 1 das Stimmrecht entsprechend seinen eigenen Vorschlägen auszuüben, es sei denn, dass er den Umständen nach annehmen darf, dass der Aktionär bei Kenntnis der Sachlage die abweichende Ausübung des Stimmrechts billigen würde. </w:t>
      </w:r>
      <w:r>
        <w:rPr>
          <w:rStyle w:val="Satznummer"/>
        </w:rPr>
        <w:t>2</w:t>
      </w:r>
      <w:r>
        <w:t xml:space="preserve">Ist der Intermediär bei der Ausübung des Stimmrechts von einer Weisung des Aktionärs oder, wenn der Aktionär keine Weisung erteilt hat, von seinem eigenen Vorschlag abgewichen, so hat es dies dem Aktionär mitzuteilen und die Gründe anzugeben. </w:t>
      </w:r>
      <w:r>
        <w:rPr>
          <w:rStyle w:val="Satznummer"/>
        </w:rPr>
        <w:t>3</w:t>
      </w:r>
      <w:r>
        <w:t xml:space="preserve">In der eigenen Hauptversammlung darf der bevollmächtigte Intermediär das Stimmrecht auf Grund der Vollmacht nur ausüben, soweit der Aktionär eine ausdrückliche Weisung zu den einzelnen Gegenständen der Tagesordnung erteilt hat. </w:t>
      </w:r>
      <w:r>
        <w:rPr>
          <w:rStyle w:val="Satznummer"/>
        </w:rPr>
        <w:t>4</w:t>
      </w:r>
      <w:r>
        <w:t>Gleiches gilt in der Versammlung einer Gesellschaft, an der er mit mehr als 20 Prozent des Grundkapitals unmittelbar oder mittelbar beteiligt ist; für die Berechnung der Beteiligungsschwelle bleiben mittelbare Beteiligungen im Sinne des § 35 Absatz 3 bis 6 des Wertpapierhandelsgesetzes außer Betracht.</w:t>
      </w:r>
    </w:p>
    <w:p>
      <w:r>
        <w:t xml:space="preserve">(4) </w:t>
      </w:r>
      <w:r>
        <w:rPr>
          <w:rStyle w:val="Satznummer"/>
        </w:rPr>
        <w:t>1</w:t>
      </w:r>
      <w:r>
        <w:t xml:space="preserve">Ein Intermediär, der in der Hauptversammlung das Stimmrecht auf Grund einer Vollmacht nach Absatz 1 Satz 4 Nr. 2 ausüben will, hat den Aktionären die Vorschläge des Vorstands und des Aufsichtsrats zugänglich zu machen, sofern dies nicht anderweitig erfolgt. </w:t>
      </w:r>
      <w:r>
        <w:rPr>
          <w:rStyle w:val="Satznummer"/>
        </w:rPr>
        <w:t>2</w:t>
      </w:r>
      <w:r>
        <w:t>Absatz 2 Satz 3 sowie Absatz 3 Satz 1 bis 3 gelten entsprechend.</w:t>
      </w:r>
    </w:p>
    <w:p>
      <w:r>
        <w:t xml:space="preserve">(5) </w:t>
      </w:r>
      <w:r>
        <w:rPr>
          <w:rStyle w:val="Satznummer"/>
        </w:rPr>
        <w:t>1</w:t>
      </w:r>
      <w:r>
        <w:t xml:space="preserve">Wenn die Vollmacht dies gestattet, darf der Intermediär Personen, die nicht seine Angestellten sind, unterbevollmächtigen. </w:t>
      </w:r>
      <w:r>
        <w:rPr>
          <w:rStyle w:val="Satznummer"/>
        </w:rPr>
        <w:t>2</w:t>
      </w:r>
      <w:r>
        <w:t xml:space="preserve">Wenn es die Vollmacht nicht anders bestimmt, übt der Intermediär das Stimmrecht im Namen dessen aus, den es angeht. </w:t>
      </w:r>
      <w:r>
        <w:rPr>
          <w:rStyle w:val="Satznummer"/>
        </w:rPr>
        <w:t>3</w:t>
      </w:r>
      <w:r>
        <w:t xml:space="preserve">Ist die Briefwahl bei der Gesellschaft zugelassen, so darf der bevollmächtigte Intermediär sich ihrer bedienen. </w:t>
      </w:r>
      <w:r>
        <w:rPr>
          <w:rStyle w:val="Satznummer"/>
        </w:rPr>
        <w:t>4</w:t>
      </w:r>
      <w:r>
        <w:t xml:space="preserve">Zum Nachweis seiner Stimmberechtigung gegenüber der Gesellschaft genügt bei börsennotierten Gesellschaften die Vorlegung eines Berechtigungsnachweises gemäß </w:t>
      </w:r>
      <w:hyperlink w:anchor="b154" w:history="1">
        <w:r>
          <w:rPr>
            <w:color w:val="0A3A8C"/>
            <w:u w:val="single"/>
          </w:rPr>
          <w:t xml:space="preserve">§ 123</w:t>
        </w:r>
      </w:hyperlink>
      <w:r>
        <w:t xml:space="preserve"> Abs. 3; im Übrigen sind die in der Satzung für die Ausübung des Stimmrechts vorgesehenen Erfordernisse zu erfüllen.</w:t>
      </w:r>
    </w:p>
    <w:p>
      <w:r>
        <w:t xml:space="preserve">(6) </w:t>
      </w:r>
      <w:r>
        <w:rPr>
          <w:rStyle w:val="Satznummer"/>
        </w:rPr>
        <w:t>1</w:t>
      </w:r>
      <w:r>
        <w:t xml:space="preserve">Ein Intermediär darf das Stimmrecht für Namensaktien, die ihm nicht gehören, als deren Inhaber er aber im Aktienregister eingetragen ist, nur auf Grund einer Ermächtigung ausüben. </w:t>
      </w:r>
      <w:r>
        <w:rPr>
          <w:rStyle w:val="Satznummer"/>
        </w:rPr>
        <w:t>2</w:t>
      </w:r>
      <w:r>
        <w:t>Auf die Ermächtigung sind die Absätze 1 bis 5 entsprechend anzuwenden.</w:t>
      </w:r>
    </w:p>
    <w:p>
      <w:r>
        <w:t>(7) Die Wirksamkeit der Stimmabgabe wird durch einen Verstoß gegen Absatz 1 Satz 2 bis 7, die Absätze 2 bis 6 nicht beeinträchtigt.</w:t>
      </w:r>
    </w:p>
    <w:p>
      <w:r>
        <w:t>(8) Die Absätze 1 bis 7 gelten sinngemäß für Aktionärsvereinigungen, für Stimmrechtsberater sowie für Personen, die sich geschäftsmäßig gegenüber Aktionären zur Ausübung des Stimmrechts in der Hauptversammlung erbieten; dies gilt nicht, wenn derjenige, der das Stimmrecht ausüben will, gesetzlicher Vertreter, Ehegatte oder Lebenspartner des Aktionärs oder mit ihm bis zum vierten Grad verwandt oder verschwägert ist.</w:t>
      </w:r>
    </w:p>
    <w:p>
      <w:r>
        <w:t>(9) Die Verpflichtung des Intermediärs, der Stimmrechtsberater sowie der Personen, die sich geschäftsmäßig gegenüber Aktionären zur Ausübung des Stimmrechts in der Hauptversammlung erbieten, zum Ersatz eines aus der Verletzung der Absätze 1 bis 6 entstehenden Schadens kann im Voraus weder ausgeschlossen noch beschränkt werden.</w:t>
      </w:r>
    </w:p>
    <w:p>
      <w:r>
        <w:t>(10) (weggefallen)</w:t>
      </w:r>
    </w:p>
    <w:p>
      <w:pPr>
        <w:pStyle w:val="Heading5"/>
      </w:pPr>
      <w:bookmarkStart w:id="177" w:name="b176"/>
      <w:r>
        <w:t>§ 135a Mehrstimmrechtsaktien</w:t>
      </w:r>
      <w:r>
        <w:t xml:space="preserve"> </w:t>
      </w:r>
      <w:r>
        <w:rPr>
          <w:rStyle w:val="Suchmarke"/>
        </w:rPr>
        <w:t>#135a#</w:t>
      </w:r>
      <w:bookmarkEnd w:id="177"/>
    </w:p>
    <w:p>
      <w:r>
        <w:t xml:space="preserve">(1) </w:t>
      </w:r>
      <w:r>
        <w:rPr>
          <w:rStyle w:val="Satznummer"/>
        </w:rPr>
        <w:t>1</w:t>
      </w:r>
      <w:r>
        <w:t xml:space="preserve">Die Satzung kann Namensaktien mit Mehrstimmrechten vorsehen. </w:t>
      </w:r>
      <w:r>
        <w:rPr>
          <w:rStyle w:val="Satznummer"/>
        </w:rPr>
        <w:t>2</w:t>
      </w:r>
      <w:r>
        <w:t xml:space="preserve">Die Mehrstimmrechte dürfen höchstens das Zehnfache des Stimmrechts nach </w:t>
      </w:r>
      <w:hyperlink w:anchor="b170" w:history="1">
        <w:r>
          <w:rPr>
            <w:color w:val="0A3A8C"/>
            <w:u w:val="single"/>
          </w:rPr>
          <w:t xml:space="preserve">§ 134</w:t>
        </w:r>
      </w:hyperlink>
      <w:r>
        <w:t xml:space="preserve"> Absatz 1 Satz 1 betragen. </w:t>
      </w:r>
      <w:r>
        <w:rPr>
          <w:rStyle w:val="Satznummer"/>
        </w:rPr>
        <w:t>3</w:t>
      </w:r>
      <w:r>
        <w:t>Ein Beschluss der Hauptversammlung zur Ausstattung oder Ausgabe von Aktien mit Mehrstimmrechten bedarf der Zustimmung aller betroffenen Aktionäre.</w:t>
      </w:r>
    </w:p>
    <w:p>
      <w:r>
        <w:t xml:space="preserve">(2) </w:t>
      </w:r>
      <w:r>
        <w:rPr>
          <w:rStyle w:val="Satznummer"/>
        </w:rPr>
        <w:t>1</w:t>
      </w:r>
      <w:r>
        <w:t xml:space="preserve">Bei börsennotierten Gesellschaften sowie Gesellschaften, deren Aktien in den Handel im Freiverkehr nach § 48 des Börsengesetzes einbezogen sind, erlöschen die Mehrstimmrechte im Fall der Übertragung der Aktie. </w:t>
      </w:r>
      <w:r>
        <w:rPr>
          <w:rStyle w:val="Satznummer"/>
        </w:rPr>
        <w:t>2</w:t>
      </w:r>
      <w:r>
        <w:t xml:space="preserve">Sie erlöschen spätestens zehn Jahre nach Börsennotierung der Gesellschaft oder Einbeziehung der Aktien in den Handel im Freiverkehr, wenn die Satzung keine kürzere Frist vorsieht. </w:t>
      </w:r>
      <w:r>
        <w:rPr>
          <w:rStyle w:val="Satznummer"/>
        </w:rPr>
        <w:t>3</w:t>
      </w:r>
      <w:r>
        <w:t xml:space="preserve">Die Frist nach Satz 2 kann in der Satzung um eine bestimmte Frist von bis zu zehn Jahren verlängert werden. </w:t>
      </w:r>
      <w:r>
        <w:rPr>
          <w:rStyle w:val="Satznummer"/>
        </w:rPr>
        <w:t>4</w:t>
      </w:r>
      <w:r>
        <w:t xml:space="preserve">Der Beschluss über die Verlängerung darf frühestens ein Jahr vor Ablauf der Frist nach Satz 2 gefasst werden und bedarf einer Mehrheit, die mindestens drei Viertel des bei der Beschlussfassung vertretenen Grundkapitals umfasst. </w:t>
      </w:r>
      <w:r>
        <w:rPr>
          <w:rStyle w:val="Satznummer"/>
        </w:rPr>
        <w:t>5</w:t>
      </w:r>
      <w:r>
        <w:t xml:space="preserve">Die Satzung kann eine größere Kapitalmehrheit bestimmen. </w:t>
      </w:r>
      <w:r>
        <w:rPr>
          <w:rStyle w:val="Satznummer"/>
        </w:rPr>
        <w:t>6</w:t>
      </w:r>
      <w:r>
        <w:t xml:space="preserve">Sind mehrere Gattungen von stimmberechtigten Aktien vorhanden, so bedarf der Beschluss zu seiner Wirksamkeit der Zustimmung der Aktionäre jeder Gattung. </w:t>
      </w:r>
      <w:r>
        <w:rPr>
          <w:rStyle w:val="Satznummer"/>
        </w:rPr>
        <w:t>7</w:t>
      </w:r>
      <w:r>
        <w:t xml:space="preserve">Über die Zustimmung haben die Aktionäre jeder Gattung einen Sonderbeschluss zu fassen. </w:t>
      </w:r>
      <w:r>
        <w:rPr>
          <w:rStyle w:val="Satznummer"/>
        </w:rPr>
        <w:t>8</w:t>
      </w:r>
      <w:r>
        <w:t>Für diesen gelten die Sätze 4 und 5.</w:t>
      </w:r>
    </w:p>
    <w:p>
      <w:r>
        <w:t>(3) Die Satzung kann weitere Erfordernisse aufstellen.</w:t>
      </w:r>
    </w:p>
    <w:p>
      <w:r>
        <w:t xml:space="preserve">(4) Bei Beschlüssen nach </w:t>
      </w:r>
      <w:hyperlink w:anchor="b148" w:history="1">
        <w:r>
          <w:rPr>
            <w:color w:val="0A3A8C"/>
            <w:u w:val="single"/>
          </w:rPr>
          <w:t xml:space="preserve">§ 119</w:t>
        </w:r>
      </w:hyperlink>
      <w:r>
        <w:t xml:space="preserve"> Absatz 1 Nummer 5 sowie </w:t>
      </w:r>
      <w:hyperlink w:anchor="b186" w:history="1">
        <w:r>
          <w:rPr>
            <w:color w:val="0A3A8C"/>
            <w:u w:val="single"/>
          </w:rPr>
          <w:t xml:space="preserve">§ 142</w:t>
        </w:r>
      </w:hyperlink>
      <w:r>
        <w:t xml:space="preserve"> Absatz 1 berechtigen Mehrstimmrechtsaktien zu nur einer Stimme.</w:t>
      </w:r>
    </w:p>
    <w:p>
      <w:pPr>
        <w:pStyle w:val="Heading5"/>
      </w:pPr>
      <w:bookmarkStart w:id="178" w:name="b177"/>
      <w:r>
        <w:t>§ 136 Ausschluß des Stimmrechts</w:t>
      </w:r>
      <w:r>
        <w:t xml:space="preserve"> </w:t>
      </w:r>
      <w:r>
        <w:rPr>
          <w:rStyle w:val="Suchmarke"/>
        </w:rPr>
        <w:t>#136#</w:t>
      </w:r>
      <w:bookmarkEnd w:id="178"/>
    </w:p>
    <w:p>
      <w:r>
        <w:t xml:space="preserve">(1) </w:t>
      </w:r>
      <w:r>
        <w:rPr>
          <w:rStyle w:val="Satznummer"/>
        </w:rPr>
        <w:t>1</w:t>
      </w:r>
      <w:r>
        <w:t xml:space="preserve">Niemand kann für sich oder für einen anderen das Stimmrecht ausüben, wenn darüber Beschluß gefaßt wird, ob er zu entlasten oder von einer Verbindlichkeit zu befreien ist oder ob die Gesellschaft gegen ihn einen Anspruch geltend machen soll. </w:t>
      </w:r>
      <w:r>
        <w:rPr>
          <w:rStyle w:val="Satznummer"/>
        </w:rPr>
        <w:t>2</w:t>
      </w:r>
      <w:r>
        <w:t>Für Aktien, aus denen der Aktionär nach Satz 1 das Stimmrecht nicht ausüben kann, kann das Stimmrecht auch nicht durch einen anderen ausgeübt werden.</w:t>
      </w:r>
    </w:p>
    <w:p>
      <w:r>
        <w:t xml:space="preserve">(2) </w:t>
      </w:r>
      <w:r>
        <w:rPr>
          <w:rStyle w:val="Satznummer"/>
        </w:rPr>
        <w:t>1</w:t>
      </w:r>
      <w:r>
        <w:t xml:space="preserve">Ein Vertrag, durch den sich ein Aktionär verpflichtet, nach Weisung der Gesellschaft, des Vorstands oder des Aufsichtsrats der Gesellschaft oder nach Weisung eines abhängigen Unternehmens das Stimmrecht auszuüben, ist nichtig. </w:t>
      </w:r>
      <w:r>
        <w:rPr>
          <w:rStyle w:val="Satznummer"/>
        </w:rPr>
        <w:t>2</w:t>
      </w:r>
      <w:r>
        <w:t>Ebenso ist ein Vertrag nichtig, durch den sich ein Aktionär verpflichtet, für die jeweiligen Vorschläge des Vorstands oder des Aufsichtsrats der Gesellschaft zu stimmen.</w:t>
      </w:r>
    </w:p>
    <w:p>
      <w:pPr>
        <w:pStyle w:val="Heading5"/>
      </w:pPr>
      <w:bookmarkStart w:id="179" w:name="b178"/>
      <w:r>
        <w:t>§ 137 Abstimmung über Wahlvorschläge von Aktionären</w:t>
      </w:r>
      <w:r>
        <w:t xml:space="preserve"> </w:t>
      </w:r>
      <w:r>
        <w:rPr>
          <w:rStyle w:val="Suchmarke"/>
        </w:rPr>
        <w:t>#137#</w:t>
      </w:r>
      <w:bookmarkEnd w:id="179"/>
    </w:p>
    <w:p>
      <w:r>
        <w:t xml:space="preserve">Hat ein Aktionär einen Vorschlag zur Wahl von Aufsichtsratsmitgliedern nach </w:t>
      </w:r>
      <w:hyperlink w:anchor="b159" w:history="1">
        <w:r>
          <w:rPr>
            <w:color w:val="0A3A8C"/>
            <w:u w:val="single"/>
          </w:rPr>
          <w:t xml:space="preserve">§ 127</w:t>
        </w:r>
      </w:hyperlink>
      <w:r>
        <w:t xml:space="preserve"> gemacht und beantragt er in der Hauptversammlung die Wahl des von ihm Vorgeschlagenen, so ist über seinen Antrag vor dem Vorschlag des Aufsichtsrats zu beschließen, wenn es eine Minderheit der Aktionäre verlangt, deren Anteile zusammen den zehnten Teil des vertretenen Grundkapitals erreichen.</w:t>
      </w:r>
    </w:p>
    <w:p>
      <w:pPr>
        <w:pStyle w:val="Heading4"/>
      </w:pPr>
      <w:bookmarkStart w:id="180" w:name="b179"/>
      <w:r>
        <w:t>Fünfter Unterabschnitt Sonderbeschluß</w:t>
      </w:r>
      <w:bookmarkEnd w:id="180"/>
    </w:p>
    <w:p>
      <w:pPr>
        <w:pStyle w:val="Heading5"/>
      </w:pPr>
      <w:bookmarkStart w:id="181" w:name="b180"/>
      <w:r>
        <w:t>§ 138 Gesonderte Versammlung. Gesonderte Abstimmung</w:t>
      </w:r>
      <w:r>
        <w:t xml:space="preserve"> </w:t>
      </w:r>
      <w:r>
        <w:rPr>
          <w:rStyle w:val="Suchmarke"/>
        </w:rPr>
        <w:t>#138#</w:t>
      </w:r>
      <w:bookmarkEnd w:id="181"/>
    </w:p>
    <w:p>
      <w:r>
        <w:rPr>
          <w:rStyle w:val="Satznummer"/>
        </w:rPr>
        <w:t>1</w:t>
      </w:r>
      <w:r>
        <w:t xml:space="preserve">In diesem Gesetz oder in der Satzung vorgeschriebene Sonderbeschlüsse gewisser Aktionäre sind entweder in einer gesonderten Versammlung dieser Aktionäre oder in einer gesonderten Abstimmung zu fassen, soweit das Gesetz nichts anderes bestimmt. </w:t>
      </w:r>
      <w:r>
        <w:rPr>
          <w:rStyle w:val="Satznummer"/>
        </w:rPr>
        <w:t>2</w:t>
      </w:r>
      <w:r>
        <w:t xml:space="preserve">Für die Einberufung der gesonderten Versammlung und die Teilnahme an ihr sowie für das Auskunftsrecht gelten die Bestimmungen über die Hauptversammlung, für die Sonderbeschlüsse die Bestimmungen über Hauptversammlungsbeschlüsse sinngemäß. </w:t>
      </w:r>
      <w:r>
        <w:rPr>
          <w:rStyle w:val="Satznummer"/>
        </w:rPr>
        <w:t>3</w:t>
      </w:r>
      <w:r>
        <w:t>Verlangen Aktionäre, die an der Abstimmung über den Sonderbeschluß teilnehmen können, die Einberufung einer gesonderten Versammlung oder die Bekanntmachung eines Gegenstands zur gesonderten Abstimmung, so genügt es, wenn ihre Anteile, mit denen sie an der Abstimmung über den Sonderbeschluß teilnehmen können, zusammen den zehnten Teil der Anteile erreichen, aus denen bei der Abstimmung über den Sonderbeschluß das Stimmrecht ausgeübt werden kann.</w:t>
      </w:r>
    </w:p>
    <w:p>
      <w:pPr>
        <w:pStyle w:val="Heading4"/>
      </w:pPr>
      <w:bookmarkStart w:id="182" w:name="b181"/>
      <w:r>
        <w:t>Sechster Unterabschnitt Vorzugsaktien ohne Stimmrecht</w:t>
      </w:r>
      <w:bookmarkEnd w:id="182"/>
    </w:p>
    <w:p>
      <w:pPr>
        <w:pStyle w:val="Heading5"/>
      </w:pPr>
      <w:bookmarkStart w:id="183" w:name="b182"/>
      <w:r>
        <w:t>§ 139 Wesen</w:t>
      </w:r>
      <w:r>
        <w:t xml:space="preserve"> </w:t>
      </w:r>
      <w:r>
        <w:rPr>
          <w:rStyle w:val="Suchmarke"/>
        </w:rPr>
        <w:t>#139#</w:t>
      </w:r>
      <w:bookmarkEnd w:id="183"/>
    </w:p>
    <w:p>
      <w:r>
        <w:t xml:space="preserve">(1) </w:t>
      </w:r>
      <w:r>
        <w:rPr>
          <w:rStyle w:val="Satznummer"/>
        </w:rPr>
        <w:t>1</w:t>
      </w:r>
      <w:r>
        <w:t xml:space="preserve">Für Aktien, die mit einem Vorzug bei der Verteilung des Gewinns ausgestattet sind, kann das Stimmrecht ausgeschlossen werden (Vorzugsaktien ohne Stimmrecht). </w:t>
      </w:r>
      <w:r>
        <w:rPr>
          <w:rStyle w:val="Satznummer"/>
        </w:rPr>
        <w:t>2</w:t>
      </w:r>
      <w:r>
        <w:t xml:space="preserve">Der Vorzug kann insbesondere in einem auf die Aktie vorweg entfallenden Gewinnanteil (Vorabdividende) oder einem erhöhten Gewinnanteil (Mehrdividende) bestehen. </w:t>
      </w:r>
      <w:r>
        <w:rPr>
          <w:rStyle w:val="Satznummer"/>
        </w:rPr>
        <w:t>3</w:t>
      </w:r>
      <w:r>
        <w:t>Wenn die Satzung nichts anderes bestimmt, ist eine Vorabdividende nachzuzahlen.</w:t>
      </w:r>
    </w:p>
    <w:p>
      <w:r>
        <w:t>(2) Vorzugsaktien ohne Stimmrecht dürfen nur bis zur Hälfte des Grundkapitals ausgegeben werden.</w:t>
      </w:r>
    </w:p>
    <w:p>
      <w:pPr>
        <w:pStyle w:val="Heading5"/>
      </w:pPr>
      <w:bookmarkStart w:id="184" w:name="b183"/>
      <w:r>
        <w:t>§ 140 Rechte der Vorzugsaktionäre</w:t>
      </w:r>
      <w:r>
        <w:t xml:space="preserve"> </w:t>
      </w:r>
      <w:r>
        <w:rPr>
          <w:rStyle w:val="Suchmarke"/>
        </w:rPr>
        <w:t>#140#</w:t>
      </w:r>
      <w:bookmarkEnd w:id="184"/>
    </w:p>
    <w:p>
      <w:r>
        <w:t>(1) Die Vorzugsaktien ohne Stimmrecht gewähren mit Ausnahme des Stimmrechts die jedem Aktionär aus der Aktie zustehenden Rechte.</w:t>
      </w:r>
    </w:p>
    <w:p>
      <w:r>
        <w:t xml:space="preserve">(2) </w:t>
      </w:r>
      <w:r>
        <w:rPr>
          <w:rStyle w:val="Satznummer"/>
        </w:rPr>
        <w:t>1</w:t>
      </w:r>
      <w:r>
        <w:t xml:space="preserve">Ist der Vorzug nachzuzahlen und wird der Vorzugsbetrag in einem Jahr nicht oder nicht vollständig gezahlt und im nächsten Jahr nicht neben dem vollen Vorzug für dieses Jahr nachgezahlt, so haben die Aktionäre das Stimmrecht, bis die Rückstände gezahlt sind. </w:t>
      </w:r>
      <w:r>
        <w:rPr>
          <w:rStyle w:val="Satznummer"/>
        </w:rPr>
        <w:t>2</w:t>
      </w:r>
      <w:r>
        <w:t xml:space="preserve">Ist der Vorzug nicht nachzuzahlen und wird der Vorzugsbetrag in einem Jahr nicht oder nicht vollständig gezahlt, so haben die Vorzugsaktionäre das Stimmrecht, bis der Vorzug in einem Jahr vollständig gezahlt ist. </w:t>
      </w:r>
      <w:r>
        <w:rPr>
          <w:rStyle w:val="Satznummer"/>
        </w:rPr>
        <w:t>3</w:t>
      </w:r>
      <w:r>
        <w:t>Solange das Stimmrecht besteht, sind die Vorzugsaktien auch bei der Berechnung einer nach Gesetz oder Satzung erforderlichen Kapitalmehrheit zu berücksichtigen.</w:t>
      </w:r>
    </w:p>
    <w:p>
      <w:r>
        <w:t>(3) Soweit die Satzung nichts anderes bestimmt, entsteht dadurch, dass der nachzuzahlende Vorzugsbetrag in einem Jahr nicht oder nicht vollständig gezahlt wird, noch kein durch spätere Beschlüsse über die Gewinnverteilung bedingter Anspruch auf den rückständigen Vorzugsbetrag.</w:t>
      </w:r>
    </w:p>
    <w:p>
      <w:pPr>
        <w:pStyle w:val="Heading5"/>
      </w:pPr>
      <w:bookmarkStart w:id="185" w:name="b184"/>
      <w:r>
        <w:t>§ 141 Aufhebung oder Beschränkung des Vorzugs</w:t>
      </w:r>
      <w:r>
        <w:t xml:space="preserve"> </w:t>
      </w:r>
      <w:r>
        <w:rPr>
          <w:rStyle w:val="Suchmarke"/>
        </w:rPr>
        <w:t>#141#</w:t>
      </w:r>
      <w:bookmarkEnd w:id="185"/>
    </w:p>
    <w:p>
      <w:r>
        <w:t>(1) Ein Beschluß, durch den der Vorzug aufgehoben oder beschränkt wird, bedarf zu seiner Wirksamkeit der Zustimmung der Vorzugsaktionäre.</w:t>
      </w:r>
    </w:p>
    <w:p>
      <w:r>
        <w:t xml:space="preserve">(2) </w:t>
      </w:r>
      <w:r>
        <w:rPr>
          <w:rStyle w:val="Satznummer"/>
        </w:rPr>
        <w:t>1</w:t>
      </w:r>
      <w:r>
        <w:t xml:space="preserve">Ein Beschluß über die Ausgabe von Vorzugsaktien, die bei der Verteilung des Gewinns oder des Gesellschaftsvermögens den Vorzugsaktien ohne Stimmrecht vorgehen oder gleichstehen, bedarf gleichfalls der Zustimmung der Vorzugsaktionäre. </w:t>
      </w:r>
      <w:r>
        <w:rPr>
          <w:rStyle w:val="Satznummer"/>
        </w:rPr>
        <w:t>2</w:t>
      </w:r>
      <w:r>
        <w:t>Der Zustimmung bedarf es nicht, wenn die Ausgabe bei Einräumung des Vorzugs oder, falls das Stimmrecht später ausgeschlossen wurde, bei der Ausschließung ausdrücklich vorbehalten worden war und das Bezugsrecht der Vorzugsaktionäre nicht ausgeschlossen wird.</w:t>
      </w:r>
    </w:p>
    <w:p>
      <w:r>
        <w:t xml:space="preserve">(3) </w:t>
      </w:r>
      <w:r>
        <w:rPr>
          <w:rStyle w:val="Satznummer"/>
        </w:rPr>
        <w:t>1</w:t>
      </w:r>
      <w:r>
        <w:t xml:space="preserve">Über die Zustimmung haben die Vorzugsaktionäre in einer gesonderten Versammlung einen Sonderbeschluß zu fassen. </w:t>
      </w:r>
      <w:r>
        <w:rPr>
          <w:rStyle w:val="Satznummer"/>
        </w:rPr>
        <w:t>2</w:t>
      </w:r>
      <w:r>
        <w:t xml:space="preserve">Er bedarf einer Mehrheit, die mindestens drei Viertel der abgegebenen Stimmen umfaßt. </w:t>
      </w:r>
      <w:r>
        <w:rPr>
          <w:rStyle w:val="Satznummer"/>
        </w:rPr>
        <w:t>3</w:t>
      </w:r>
      <w:r>
        <w:t xml:space="preserve">Die Satzung kann weder eine andere Mehrheit noch weitere Erfordernisse bestimmen. </w:t>
      </w:r>
      <w:r>
        <w:rPr>
          <w:rStyle w:val="Satznummer"/>
        </w:rPr>
        <w:t>4</w:t>
      </w:r>
      <w:r>
        <w:t xml:space="preserve">Wird in dem Beschluß über die Ausgabe von Vorzugsaktien, die bei der Verteilung des Gewinns oder des Gesellschaftsvermögens den Vorzugsaktien ohne Stimmrecht vorgehen oder gleichstehen, das Bezugsrecht der Vorzugsaktionäre auf den Bezug solcher Aktien ganz oder zum Teil ausgeschlossen, so gilt für den Sonderbeschluß </w:t>
      </w:r>
      <w:hyperlink w:anchor="b237" w:history="1">
        <w:r>
          <w:rPr>
            <w:color w:val="0A3A8C"/>
            <w:u w:val="single"/>
          </w:rPr>
          <w:t xml:space="preserve">§ 186</w:t>
        </w:r>
      </w:hyperlink>
      <w:r>
        <w:t xml:space="preserve"> Abs. 3 bis 5 sinngemäß.</w:t>
      </w:r>
    </w:p>
    <w:p>
      <w:r>
        <w:t>(4) Ist der Vorzug aufgehoben, so gewähren die Aktien das Stimmrecht.</w:t>
      </w:r>
    </w:p>
    <w:p>
      <w:pPr>
        <w:pStyle w:val="Heading4"/>
      </w:pPr>
      <w:bookmarkStart w:id="186" w:name="b185"/>
      <w:r>
        <w:t>Siebenter Unterabschnitt Sonderprüfung. Geltendmachung von Ersatzansprüchen</w:t>
      </w:r>
      <w:bookmarkEnd w:id="186"/>
    </w:p>
    <w:p>
      <w:pPr>
        <w:pStyle w:val="Heading5"/>
      </w:pPr>
      <w:bookmarkStart w:id="187" w:name="b186"/>
      <w:r>
        <w:t>§ 142 Bestellung der Sonderprüfer</w:t>
      </w:r>
      <w:r>
        <w:t xml:space="preserve"> </w:t>
      </w:r>
      <w:r>
        <w:rPr>
          <w:rStyle w:val="Suchmarke"/>
        </w:rPr>
        <w:t>#142#</w:t>
      </w:r>
      <w:bookmarkEnd w:id="187"/>
    </w:p>
    <w:p>
      <w:r>
        <w:t xml:space="preserve">(1) </w:t>
      </w:r>
      <w:r>
        <w:rPr>
          <w:rStyle w:val="Satznummer"/>
        </w:rPr>
        <w:t>1</w:t>
      </w:r>
      <w:r>
        <w:t xml:space="preserve">Zur Prüfung von Vorgängen bei der Gründung oder der Geschäftsführung, namentlich auch bei Maßnahmen der Kapitalbeschaffung und Kapitalherabsetzung, kann die Hauptversammlung mit einfacher Stimmenmehrheit Prüfer (Sonderprüfer) bestellen. </w:t>
      </w:r>
      <w:r>
        <w:rPr>
          <w:rStyle w:val="Satznummer"/>
        </w:rPr>
        <w:t>2</w:t>
      </w:r>
      <w:r>
        <w:t xml:space="preserve">Bei der Beschlußfassung kann ein Mitglied des Vorstands oder des Aufsichtsrats weder für sich noch für einen anderen mitstimmen, wenn die Prüfung sich auf Vorgänge erstrecken soll, die mit der Entlastung eines Mitglieds des Vorstands oder des Aufsichtsrats oder der Einleitung eines Rechtsstreits zwischen der Gesellschaft und einem Mitglied des Vorstands oder des Aufsichtsrats zusammenhängen. </w:t>
      </w:r>
      <w:r>
        <w:rPr>
          <w:rStyle w:val="Satznummer"/>
        </w:rPr>
        <w:t>3</w:t>
      </w:r>
      <w:r>
        <w:t>Für ein Mitglied des Vorstands oder des Aufsichtsrats, das nach Satz 2 nicht mitstimmen kann, kann das Stimmrecht auch nicht durch einen anderen ausgeübt werden.</w:t>
      </w:r>
    </w:p>
    <w:p>
      <w:r>
        <w:t xml:space="preserve">(2) </w:t>
      </w:r>
      <w:r>
        <w:rPr>
          <w:rStyle w:val="Satznummer"/>
        </w:rPr>
        <w:t>1</w:t>
      </w:r>
      <w:r>
        <w:t xml:space="preserve">Lehnt die Hauptversammlung einen Antrag auf Bestellung von Sonderprüfern zur Prüfung eines Vorgangs bei der Gründung oder eines nicht über fünf Jahre zurückliegenden Vorgangs bei der Geschäftsführung ab, so hat das Gericht auf Antrag von Aktionären, deren Anteile bei Antragstellung zusammen den hundertsten Teil des Grundkapitals oder einen anteiligen Betrag von 100 000 Euro erreichen, Sonderprüfer zu bestellen, wenn Tatsachen vorliegen, die den Verdacht rechtfertigen, dass bei dem Vorgang Unredlichkeiten oder grobe Verletzungen des Gesetzes oder der Satzung vorgekommen sind; dies gilt auch für nicht über zehn Jahre zurückliegende Vorgänge, sofern die Gesellschaft zur Zeit des Vorgangs börsennotiert war. </w:t>
      </w:r>
      <w:r>
        <w:rPr>
          <w:rStyle w:val="Satznummer"/>
        </w:rPr>
        <w:t>2</w:t>
      </w:r>
      <w:r>
        <w:t xml:space="preserve">Die Antragsteller haben nachzuweisen, dass sie seit mindestens drei Monaten vor dem Tag der Hauptversammlung Inhaber der Aktien sind und dass sie die Aktien bis zur Entscheidung über den Antrag halten. </w:t>
      </w:r>
      <w:r>
        <w:rPr>
          <w:rStyle w:val="Satznummer"/>
        </w:rPr>
        <w:t>3</w:t>
      </w:r>
      <w:r>
        <w:t xml:space="preserve">Für eine Vereinbarung zur Vermeidung einer solchen Sonderprüfung gilt </w:t>
      </w:r>
      <w:hyperlink w:anchor="b193" w:history="1">
        <w:r>
          <w:rPr>
            <w:color w:val="0A3A8C"/>
            <w:u w:val="single"/>
          </w:rPr>
          <w:t xml:space="preserve">§ 149</w:t>
        </w:r>
      </w:hyperlink>
      <w:r>
        <w:t xml:space="preserve"> entsprechend.</w:t>
      </w:r>
    </w:p>
    <w:p>
      <w:r>
        <w:t xml:space="preserve">(3) Die Absätze 1 und 2 gelten nicht für Vorgänge, die Gegenstand einer Sonderprüfung nach </w:t>
      </w:r>
      <w:hyperlink w:anchor="b328" w:history="1">
        <w:r>
          <w:rPr>
            <w:color w:val="0A3A8C"/>
            <w:u w:val="single"/>
          </w:rPr>
          <w:t xml:space="preserve">§ 258</w:t>
        </w:r>
      </w:hyperlink>
      <w:r>
        <w:t xml:space="preserve"> sein können.</w:t>
      </w:r>
    </w:p>
    <w:p>
      <w:r>
        <w:t xml:space="preserve">(4) </w:t>
      </w:r>
      <w:r>
        <w:rPr>
          <w:rStyle w:val="Satznummer"/>
        </w:rPr>
        <w:t>1</w:t>
      </w:r>
      <w:r>
        <w:t xml:space="preserve">Hat die Hauptversammlung Sonderprüfer bestellt, so hat das Gericht auf Antrag von Aktionären, deren Anteile bei Antragstellung zusammen den hundertsten Teil des Grundkapitals oder einen anteiligen Betrag von 100 000 Euro erreichen, einen anderen Sonderprüfer zu bestellen, wenn dies aus einem in der Person des bestellten Sonderprüfers liegenden Grund geboten erscheint, insbesondere, wenn der bestellte Sonderprüfer nicht die für den Gegenstand der Sonderprüfung erforderlichen Kenntnisse hat, seine Befangenheit zu besorgen ist oder Bedenken wegen seiner Zuverlässigkeit bestehen. </w:t>
      </w:r>
      <w:r>
        <w:rPr>
          <w:rStyle w:val="Satznummer"/>
        </w:rPr>
        <w:t>2</w:t>
      </w:r>
      <w:r>
        <w:t>Der Antrag ist binnen zwei Wochen seit dem Tag der Hauptversammlung zu stellen.</w:t>
      </w:r>
    </w:p>
    <w:p>
      <w:r>
        <w:t xml:space="preserve">(5) </w:t>
      </w:r>
      <w:r>
        <w:rPr>
          <w:rStyle w:val="Satznummer"/>
        </w:rPr>
        <w:t>1</w:t>
      </w:r>
      <w:r>
        <w:t xml:space="preserve">Das Gericht hat außer den Beteiligten auch den Aufsichtsrat und im Fall des Absatzes 4 den von der Hauptversammlung bestellten Sonderprüfer zu hören. </w:t>
      </w:r>
      <w:r>
        <w:rPr>
          <w:rStyle w:val="Satznummer"/>
        </w:rPr>
        <w:t>2</w:t>
      </w:r>
      <w:r>
        <w:t xml:space="preserve">Gegen die Entscheidung ist die Beschwerde zulässig. </w:t>
      </w:r>
      <w:r>
        <w:rPr>
          <w:rStyle w:val="Satznummer"/>
        </w:rPr>
        <w:t>3</w:t>
      </w:r>
      <w:r>
        <w:t>Über den Antrag gemäß den Absätzen 2 und 4 entscheidet das Landgericht, in dessen Bezirk die Gesellschaft ihren Sitz hat.</w:t>
      </w:r>
    </w:p>
    <w:p>
      <w:r>
        <w:t xml:space="preserve">(6) </w:t>
      </w:r>
      <w:r>
        <w:rPr>
          <w:rStyle w:val="Satznummer"/>
        </w:rPr>
        <w:t>1</w:t>
      </w:r>
      <w:r>
        <w:t xml:space="preserve">Die vom Gericht bestellten Sonderprüfer haben Anspruch auf Ersatz angemessener barer Auslagen und auf Vergütung für ihre Tätigkeit. </w:t>
      </w:r>
      <w:r>
        <w:rPr>
          <w:rStyle w:val="Satznummer"/>
        </w:rPr>
        <w:t>2</w:t>
      </w:r>
      <w:r>
        <w:t xml:space="preserve">Die Auslagen und die Vergütung setzt das Gericht fest. </w:t>
      </w:r>
      <w:r>
        <w:rPr>
          <w:rStyle w:val="Satznummer"/>
        </w:rPr>
        <w:t>3</w:t>
      </w:r>
      <w:r>
        <w:t xml:space="preserve">Gegen die Entscheidung ist die Beschwerde zulässig; die Rechtsbeschwerde ist ausgeschlossen. </w:t>
      </w:r>
      <w:r>
        <w:rPr>
          <w:rStyle w:val="Satznummer"/>
        </w:rPr>
        <w:t>4</w:t>
      </w:r>
      <w:r>
        <w:t>Aus der rechtskräftigen Entscheidung findet die Zwangsvollstreckung nach der Zivilprozeßordnung statt.</w:t>
      </w:r>
    </w:p>
    <w:p>
      <w:r>
        <w:t>(7) Ist für die Gesellschaft als Emittentin von zugelassenen Wertpapieren im Sinne des § 2 Absatz 1 des Wertpapierhandelsgesetzes mit Ausnahme von Anteilen und Aktien an offenen Investmentvermögen im Sinne des § 1 Absatz 4 des Kapitalanlagegesetzbuchs die Bundesrepublik Deutschland der Herkunftsstaat (§ 2 Absatz 13 des Wertpapierhandelsgesetzes), so hat im Falle des Absatzes 1 Satz 1 der Vorstand und im Falle des Absatzes 2 Satz 1 das Gericht der Bundesanstalt für Finanzdienstleistungsaufsicht die Bestellung des Sonderprüfers und dessen Prüfungsbericht mitzuteilen; darüber hinaus hat das Gericht den Eingang eines Antrags auf Bestellung eines Sonderprüfers mitzuteilen.</w:t>
      </w:r>
    </w:p>
    <w:p>
      <w:r>
        <w:t>(8) Auf das gerichtliche Verfahren nach den Absätzen 2 bis 6 sind die Vorschriften des Gesetzes über das Verfahren in Familiensachen und in den Angelegenheiten der freiwilligen Gerichtsbarkeit anzuwenden, soweit in diesem Gesetz nichts anderes bestimmt ist.</w:t>
      </w:r>
    </w:p>
    <w:p>
      <w:pPr>
        <w:pStyle w:val="Heading5"/>
      </w:pPr>
      <w:bookmarkStart w:id="188" w:name="b187"/>
      <w:r>
        <w:t>§ 143 Auswahl der Sonderprüfer</w:t>
      </w:r>
      <w:r>
        <w:t xml:space="preserve"> </w:t>
      </w:r>
      <w:r>
        <w:rPr>
          <w:rStyle w:val="Suchmarke"/>
        </w:rPr>
        <w:t>#143#</w:t>
      </w:r>
      <w:bookmarkEnd w:id="188"/>
    </w:p>
    <w:p>
      <w:r>
        <w:t>(1) Als Sonderprüfer sollen, wenn der Gegenstand der Sonderprüfung keine anderen Kenntnisse fordert, nur bestellt werden</w:t>
      </w:r>
    </w:p>
    <w:p>
      <w:pPr>
        <w:tabs>
          <w:tab w:pos="567" w:val="left"/>
        </w:tabs>
        <w:ind w:left="567" w:hanging="567"/>
      </w:pPr>
      <w:r>
        <w:t>1.</w:t>
      </w:r>
      <w:r>
        <w:tab/>
      </w:r>
      <w:r>
        <w:t>Personen, die in der Buchführung ausreichend vorgebildet und erfahren sind;</w:t>
      </w:r>
    </w:p>
    <w:p>
      <w:pPr>
        <w:tabs>
          <w:tab w:pos="567" w:val="left"/>
        </w:tabs>
        <w:ind w:left="567" w:hanging="567"/>
      </w:pPr>
      <w:r>
        <w:t>2.</w:t>
      </w:r>
      <w:r>
        <w:tab/>
      </w:r>
      <w:r>
        <w:t>Prüfungsgesellschaften, von deren gesetzlichen Vertretern mindestens einer in der Buchführung ausreichend vorgebildet und erfahren ist.</w:t>
      </w:r>
    </w:p>
    <w:p>
      <w:r>
        <w:t xml:space="preserve">(2) </w:t>
      </w:r>
      <w:r>
        <w:rPr>
          <w:rStyle w:val="Satznummer"/>
        </w:rPr>
        <w:t>1</w:t>
      </w:r>
      <w:r>
        <w:t xml:space="preserve">Sonderprüfer darf nicht sein, wer nach § 319 Absatz 2, 3, § 319b des Handelsgesetzbuchs nicht Abschlussprüfer sein darf oder während der Zeit, in der sich der zu prüfende Vorgang ereignet hat, hätte sein dürfen. </w:t>
      </w:r>
      <w:r>
        <w:rPr>
          <w:rStyle w:val="Satznummer"/>
        </w:rPr>
        <w:t>2</w:t>
      </w:r>
      <w:r>
        <w:t xml:space="preserve">Eine Prüfungsgesellschaft darf nicht Sonderprüfer sein, wenn sie nach § 319 Absatz 2, 4, § 319b des Handelsgesetzbuchs nicht Abschlussprüfer sein darf oder während der Zeit, in der sich der zu prüfende Vorgang ereignet hat, hätte sein dürfen. </w:t>
      </w:r>
      <w:r>
        <w:rPr>
          <w:rStyle w:val="Satznummer"/>
        </w:rPr>
        <w:t>3</w:t>
      </w:r>
      <w:r>
        <w:t>Bei einer Gesellschaft, die Unternehmen von öffentlichem Interesse nach § 316a Satz 2 des Handelsgesetzbuchs ist, darf Sonderprüfer auch nicht sein, wer Nichtprüfungsleistungen nach Artikel 5 Absatz 1 der Verordnung (EU) Nr. 537/2014 des Europäischen Parlaments und des Rates vom 16. April 2014 über spezifische Anforderungen an die Abschlussprüfung bei Unternehmen von öffentlichem Interesse und zur Aufhebung des Beschlusses 2005/909/EG der Kommission (ABl. L 158 vom 27.5.2014, S. 77; L 170 vom 11.6.2014, S. 66) erbringt oder während der Zeit, in der sich der zu prüfende Vorgang ereignet hat, erbracht hat.</w:t>
      </w:r>
    </w:p>
    <w:p>
      <w:r>
        <w:t>(3) (weggefallen)</w:t>
      </w:r>
    </w:p>
    <w:p>
      <w:pPr>
        <w:pStyle w:val="Heading5"/>
      </w:pPr>
      <w:bookmarkStart w:id="189" w:name="b188"/>
      <w:r>
        <w:t>§ 144 Verantwortlichkeit der Sonderprüfer</w:t>
      </w:r>
      <w:r>
        <w:t xml:space="preserve"> </w:t>
      </w:r>
      <w:r>
        <w:rPr>
          <w:rStyle w:val="Suchmarke"/>
        </w:rPr>
        <w:t>#144#</w:t>
      </w:r>
      <w:bookmarkEnd w:id="189"/>
    </w:p>
    <w:p>
      <w:r>
        <w:t>§ 323 des Handelsgesetzbuchs über die Verantwortlichkeit des Abschlußprüfers gilt sinngemäß.</w:t>
      </w:r>
    </w:p>
    <w:p>
      <w:pPr>
        <w:pStyle w:val="Heading5"/>
      </w:pPr>
      <w:bookmarkStart w:id="190" w:name="b189"/>
      <w:r>
        <w:t>§ 145 Rechte der Sonderprüfer. Prüfungsbericht</w:t>
      </w:r>
      <w:r>
        <w:t xml:space="preserve"> </w:t>
      </w:r>
      <w:r>
        <w:rPr>
          <w:rStyle w:val="Suchmarke"/>
        </w:rPr>
        <w:t>#145#</w:t>
      </w:r>
      <w:bookmarkEnd w:id="190"/>
    </w:p>
    <w:p>
      <w:r>
        <w:t>(1) Der Vorstand hat den Sonderprüfern zu gestatten, die Bücher und Schriften der Gesellschaft sowie die Vermögensgegenstände, namentlich die Gesellschaftskasse und die Bestände an Wertpapieren und Waren, zu prüfen.</w:t>
      </w:r>
    </w:p>
    <w:p>
      <w:r>
        <w:t>(2) Die Sonderprüfer können von den Mitgliedern des Vorstands und des Aufsichtsrats alle Aufklärungen und Nachweise verlangen, welche die sorgfältige Prüfung der Vorgänge notwendig macht.</w:t>
      </w:r>
    </w:p>
    <w:p>
      <w:r>
        <w:t>(3) Die Sonderprüfer haben die Rechte nach Absatz 2 auch gegenüber einem Konzernunternehmen sowie gegenüber einem abhängigen oder herrschenden Unternehmen.</w:t>
      </w:r>
    </w:p>
    <w:p>
      <w:r>
        <w:t xml:space="preserve">(4) Auf Antrag des Vorstands hat das Gericht zu gestatten, dass bestimmte Tatsachen nicht in den Bericht aufgenommen werden, wenn überwiegende Belange der Gesellschaft dies gebieten und sie zur Darlegung der Unredlichkeiten oder groben Verletzungen gemäß </w:t>
      </w:r>
      <w:hyperlink w:anchor="b186" w:history="1">
        <w:r>
          <w:rPr>
            <w:color w:val="0A3A8C"/>
            <w:u w:val="single"/>
          </w:rPr>
          <w:t xml:space="preserve">§ 142</w:t>
        </w:r>
      </w:hyperlink>
      <w:r>
        <w:t xml:space="preserve"> Abs. 2 nicht unerlässlich sind.</w:t>
      </w:r>
    </w:p>
    <w:p>
      <w:r>
        <w:t xml:space="preserve">(5) </w:t>
      </w:r>
      <w:r>
        <w:rPr>
          <w:rStyle w:val="Satznummer"/>
        </w:rPr>
        <w:t>1</w:t>
      </w:r>
      <w:r>
        <w:t xml:space="preserve">Über den Antrag gemäß Absatz 4 entscheidet das Landgericht, in dessen Bezirk die Gesellschaft ihren Sitz hat. </w:t>
      </w:r>
      <w:r>
        <w:rPr>
          <w:rStyle w:val="Satznummer"/>
        </w:rPr>
        <w:t>2</w:t>
      </w:r>
      <w:hyperlink w:anchor="b186" w:history="1">
        <w:r>
          <w:rPr>
            <w:color w:val="0A3A8C"/>
            <w:u w:val="single"/>
          </w:rPr>
          <w:t xml:space="preserve">§ 142</w:t>
        </w:r>
      </w:hyperlink>
      <w:r>
        <w:t xml:space="preserve"> Abs. 5 Satz 2, Abs. 8 gilt entsprechend.</w:t>
      </w:r>
    </w:p>
    <w:p>
      <w:r>
        <w:t xml:space="preserve">(6) </w:t>
      </w:r>
      <w:r>
        <w:rPr>
          <w:rStyle w:val="Satznummer"/>
        </w:rPr>
        <w:t>1</w:t>
      </w:r>
      <w:r>
        <w:t xml:space="preserve">Die Sonderprüfer haben über das Ergebnis der Prüfung schriftlich zu berichten. </w:t>
      </w:r>
      <w:r>
        <w:rPr>
          <w:rStyle w:val="Satznummer"/>
        </w:rPr>
        <w:t>2</w:t>
      </w:r>
      <w:r>
        <w:t xml:space="preserve">Auch Tatsachen, deren Bekanntwerden geeignet ist, der Gesellschaft oder einem verbundenen Unternehmen einen nicht unerheblichen Nachteil zuzufügen, müssen in den Prüfungsbericht aufgenommen werden, wenn ihre Kenntnis zur Beurteilung des zu prüfenden Vorgangs durch die Hauptversammlung erforderlich ist. </w:t>
      </w:r>
      <w:r>
        <w:rPr>
          <w:rStyle w:val="Satznummer"/>
        </w:rPr>
        <w:t>3</w:t>
      </w:r>
      <w:r>
        <w:t xml:space="preserve">Die Sonderprüfer haben den Bericht zu unterzeichnen und unverzüglich dem Vorstand und zum Handelsregister des Sitzes der Gesellschaft einzureichen. </w:t>
      </w:r>
      <w:r>
        <w:rPr>
          <w:rStyle w:val="Satznummer"/>
        </w:rPr>
        <w:t>4</w:t>
      </w:r>
      <w:r>
        <w:t xml:space="preserve">Auf Verlangen hat der Vorstand jedem Aktionär eine Abschrift des Prüfungsberichts zu erteilen. </w:t>
      </w:r>
      <w:r>
        <w:rPr>
          <w:rStyle w:val="Satznummer"/>
        </w:rPr>
        <w:t>5</w:t>
      </w:r>
      <w:r>
        <w:t>Der Vorstand hat den Bericht dem Aufsichtsrat vorzulegen und bei der Einberufung der nächsten Hauptversammlung als Gegenstand der Tagesordnung bekanntzumachen.</w:t>
      </w:r>
    </w:p>
    <w:p>
      <w:pPr>
        <w:pStyle w:val="Heading5"/>
      </w:pPr>
      <w:bookmarkStart w:id="191" w:name="b190"/>
      <w:r>
        <w:t>§ 146 Kosten</w:t>
      </w:r>
      <w:r>
        <w:t xml:space="preserve"> </w:t>
      </w:r>
      <w:r>
        <w:rPr>
          <w:rStyle w:val="Suchmarke"/>
        </w:rPr>
        <w:t>#146#</w:t>
      </w:r>
      <w:bookmarkEnd w:id="191"/>
    </w:p>
    <w:p>
      <w:r>
        <w:rPr>
          <w:rStyle w:val="Satznummer"/>
        </w:rPr>
        <w:t>1</w:t>
      </w:r>
      <w:r>
        <w:t xml:space="preserve">Bestellt das Gericht Sonderprüfer, so trägt die Gesellschaft die Gerichtskosten und die Kosten der Prüfung. </w:t>
      </w:r>
      <w:r>
        <w:rPr>
          <w:rStyle w:val="Satznummer"/>
        </w:rPr>
        <w:t>2</w:t>
      </w:r>
      <w:r>
        <w:t>Hat der Antragsteller die Bestellung durch vorsätzlich oder grob fahrlässig unrichtigen Vortrag erwirkt, so hat der Antragsteller der Gesellschaft die Kosten zu erstatten.</w:t>
      </w:r>
    </w:p>
    <w:p>
      <w:pPr>
        <w:pStyle w:val="Heading5"/>
      </w:pPr>
      <w:bookmarkStart w:id="192" w:name="b191"/>
      <w:r>
        <w:t>§ 147 Geltendmachung von Ersatzansprüchen</w:t>
      </w:r>
      <w:r>
        <w:t xml:space="preserve"> </w:t>
      </w:r>
      <w:r>
        <w:rPr>
          <w:rStyle w:val="Suchmarke"/>
        </w:rPr>
        <w:t>#147#</w:t>
      </w:r>
      <w:bookmarkEnd w:id="192"/>
    </w:p>
    <w:p>
      <w:r>
        <w:t xml:space="preserve">(1) </w:t>
      </w:r>
      <w:r>
        <w:rPr>
          <w:rStyle w:val="Satznummer"/>
        </w:rPr>
        <w:t>1</w:t>
      </w:r>
      <w:r>
        <w:t xml:space="preserve">Die Ersatzansprüche der Gesellschaft aus der Gründung gegen die nach den </w:t>
      </w:r>
      <w:hyperlink w:anchor="b51" w:history="1">
        <w:r>
          <w:rPr>
            <w:color w:val="0A3A8C"/>
            <w:u w:val="single"/>
          </w:rPr>
          <w:t xml:space="preserve">§§ 46</w:t>
        </w:r>
      </w:hyperlink>
      <w:r>
        <w:t xml:space="preserve"> bis </w:t>
      </w:r>
      <w:hyperlink w:anchor="b53" w:history="1">
        <w:r>
          <w:rPr>
            <w:color w:val="0A3A8C"/>
            <w:u w:val="single"/>
          </w:rPr>
          <w:t xml:space="preserve">48</w:t>
        </w:r>
      </w:hyperlink>
      <w:r>
        <w:t xml:space="preserve">, </w:t>
      </w:r>
      <w:hyperlink w:anchor="b58" w:history="1">
        <w:r>
          <w:rPr>
            <w:color w:val="0A3A8C"/>
            <w:u w:val="single"/>
          </w:rPr>
          <w:t xml:space="preserve">53</w:t>
        </w:r>
      </w:hyperlink>
      <w:r>
        <w:t xml:space="preserve"> verpflichteten Personen oder aus der Geschäftsführung gegen die Mitglieder des Vorstands und des Aufsichtsrats oder aus </w:t>
      </w:r>
      <w:hyperlink w:anchor="b143" w:history="1">
        <w:r>
          <w:rPr>
            <w:color w:val="0A3A8C"/>
            <w:u w:val="single"/>
          </w:rPr>
          <w:t xml:space="preserve">§ 117</w:t>
        </w:r>
      </w:hyperlink>
      <w:r>
        <w:t xml:space="preserve"> müssen geltend gemacht werden, wenn es die Hauptversammlung mit einfacher Stimmenmehrheit beschließt. </w:t>
      </w:r>
      <w:r>
        <w:rPr>
          <w:rStyle w:val="Satznummer"/>
        </w:rPr>
        <w:t>2</w:t>
      </w:r>
      <w:r>
        <w:t>Der Ersatzanspruch soll binnen sechs Monaten seit dem Tage der Hauptversammlung geltend gemacht werden.</w:t>
      </w:r>
    </w:p>
    <w:p>
      <w:r>
        <w:t xml:space="preserve">(2) </w:t>
      </w:r>
      <w:r>
        <w:rPr>
          <w:rStyle w:val="Satznummer"/>
        </w:rPr>
        <w:t>1</w:t>
      </w:r>
      <w:r>
        <w:t xml:space="preserve">Zur Geltendmachung des Ersatzanspruchs kann die Hauptversammlung besondere Vertreter bestellen. </w:t>
      </w:r>
      <w:r>
        <w:rPr>
          <w:rStyle w:val="Satznummer"/>
        </w:rPr>
        <w:t>2</w:t>
      </w:r>
      <w:r>
        <w:t>Das Gericht (</w:t>
      </w:r>
      <w:hyperlink w:anchor="b16" w:history="1">
        <w:r>
          <w:rPr>
            <w:color w:val="0A3A8C"/>
            <w:u w:val="single"/>
          </w:rPr>
          <w:t xml:space="preserve">§ 14</w:t>
        </w:r>
      </w:hyperlink>
      <w:r>
        <w:t xml:space="preserve">) hat auf Antrag von Aktionären, deren Anteile zusammen den zehnten Teil des Grundkapitals oder den anteiligen Betrag von einer Million Euro erreichen, als Vertreter der Gesellschaft zur Geltendmachung des Ersatzanspruchs andere als die nach den </w:t>
      </w:r>
      <w:hyperlink w:anchor="b98" w:history="1">
        <w:r>
          <w:rPr>
            <w:color w:val="0A3A8C"/>
            <w:u w:val="single"/>
          </w:rPr>
          <w:t xml:space="preserve">§§ 78</w:t>
        </w:r>
      </w:hyperlink>
      <w:r>
        <w:t xml:space="preserve">, </w:t>
      </w:r>
      <w:hyperlink w:anchor="b137" w:history="1">
        <w:r>
          <w:rPr>
            <w:color w:val="0A3A8C"/>
            <w:u w:val="single"/>
          </w:rPr>
          <w:t xml:space="preserve">112</w:t>
        </w:r>
      </w:hyperlink>
      <w:r>
        <w:t xml:space="preserve"> oder nach Satz 1 zur Vertretung der Gesellschaft berufenen Personen zu bestellen, wenn ihm dies für eine gehörige Geltendmachung zweckmäßig erscheint. </w:t>
      </w:r>
      <w:r>
        <w:rPr>
          <w:rStyle w:val="Satznummer"/>
        </w:rPr>
        <w:t>3</w:t>
      </w:r>
      <w:r>
        <w:t xml:space="preserve">Gibt das Gericht dem Antrag statt, so trägt die Gesellschaft die Gerichtskosten. </w:t>
      </w:r>
      <w:r>
        <w:rPr>
          <w:rStyle w:val="Satznummer"/>
        </w:rPr>
        <w:t>4</w:t>
      </w:r>
      <w:r>
        <w:t xml:space="preserve">Gegen die Entscheidung ist die Beschwerde zulässig. </w:t>
      </w:r>
      <w:r>
        <w:rPr>
          <w:rStyle w:val="Satznummer"/>
        </w:rPr>
        <w:t>5</w:t>
      </w:r>
      <w:r>
        <w:t xml:space="preserve">Die gerichtlich bestellten Vertreter können von der Gesellschaft den Ersatz angemessener barer Auslagen und eine Vergütung für ihre Tätigkeit verlangen. </w:t>
      </w:r>
      <w:r>
        <w:rPr>
          <w:rStyle w:val="Satznummer"/>
        </w:rPr>
        <w:t>6</w:t>
      </w:r>
      <w:r>
        <w:t xml:space="preserve">Die Auslagen und die Vergütung setzt das Gericht fest. </w:t>
      </w:r>
      <w:r>
        <w:rPr>
          <w:rStyle w:val="Satznummer"/>
        </w:rPr>
        <w:t>7</w:t>
      </w:r>
      <w:r>
        <w:t xml:space="preserve">Gegen die Entscheidung ist die Beschwerde zulässig; die Rechtsbeschwerde ist ausgeschlossen. </w:t>
      </w:r>
      <w:r>
        <w:rPr>
          <w:rStyle w:val="Satznummer"/>
        </w:rPr>
        <w:t>8</w:t>
      </w:r>
      <w:r>
        <w:t>Aus der rechtskräftigen Entscheidung findet die Zwangsvollstreckung nach der Zivilprozeßordnung statt.</w:t>
      </w:r>
    </w:p>
    <w:p>
      <w:r>
        <w:t>(3) (weggefallen)</w:t>
      </w:r>
    </w:p>
    <w:p>
      <w:r>
        <w:t>(4) (weggefallen)</w:t>
      </w:r>
    </w:p>
    <w:p>
      <w:pPr>
        <w:pStyle w:val="Heading5"/>
      </w:pPr>
      <w:bookmarkStart w:id="193" w:name="b192"/>
      <w:r>
        <w:t>§ 148 Klagezulassungsverfahren</w:t>
      </w:r>
      <w:r>
        <w:t xml:space="preserve"> </w:t>
      </w:r>
      <w:r>
        <w:rPr>
          <w:rStyle w:val="Suchmarke"/>
        </w:rPr>
        <w:t>#148#</w:t>
      </w:r>
      <w:bookmarkEnd w:id="193"/>
    </w:p>
    <w:p>
      <w:r>
        <w:t xml:space="preserve">(1) </w:t>
      </w:r>
      <w:r>
        <w:rPr>
          <w:rStyle w:val="Satznummer"/>
        </w:rPr>
        <w:t>1</w:t>
      </w:r>
      <w:r>
        <w:t xml:space="preserve">Aktionäre, deren Anteile im Zeitpunkt der Antragstellung zusammen den einhundertsten Teil des Grundkapitals oder einen anteiligen Betrag von 100 000 Euro erreichen, können die Zulassung beantragen, im eigenen Namen die in </w:t>
      </w:r>
      <w:hyperlink w:anchor="b191" w:history="1">
        <w:r>
          <w:rPr>
            <w:color w:val="0A3A8C"/>
            <w:u w:val="single"/>
          </w:rPr>
          <w:t xml:space="preserve">§ 147</w:t>
        </w:r>
      </w:hyperlink>
      <w:r>
        <w:t xml:space="preserve"> Abs. 1 Satz 1 bezeichneten Ersatzansprüche der Gesellschaft geltend zu machen. </w:t>
      </w:r>
      <w:r>
        <w:rPr>
          <w:rStyle w:val="Satznummer"/>
        </w:rPr>
        <w:t>2</w:t>
      </w:r>
      <w:r>
        <w:t>Das Gericht lässt die Klage zu, wenn</w:t>
      </w:r>
    </w:p>
    <w:p>
      <w:pPr>
        <w:tabs>
          <w:tab w:pos="567" w:val="left"/>
        </w:tabs>
        <w:ind w:left="567" w:hanging="567"/>
      </w:pPr>
      <w:r>
        <w:t>1.</w:t>
      </w:r>
      <w:r>
        <w:tab/>
      </w:r>
      <w:r>
        <w:t>die Aktionäre nachweisen, dass sie die Aktien vor dem Zeitpunkt erworben haben, in dem sie oder im Falle der Gesamtrechtsnachfolge ihre Rechtsvorgänger von den behaupteten Pflichtverstößen oder dem behaupteten Schaden auf Grund einer Veröffentlichung Kenntnis erlangen mussten,</w:t>
      </w:r>
    </w:p>
    <w:p>
      <w:pPr>
        <w:tabs>
          <w:tab w:pos="567" w:val="left"/>
        </w:tabs>
        <w:ind w:left="567" w:hanging="567"/>
      </w:pPr>
      <w:r>
        <w:t>2.</w:t>
      </w:r>
      <w:r>
        <w:tab/>
      </w:r>
      <w:r>
        <w:t>die Aktionäre nachweisen, dass sie die Gesellschaft unter Setzung einer angemessenen Frist vergeblich aufgefordert haben, selbst Klage zu erheben,</w:t>
      </w:r>
    </w:p>
    <w:p>
      <w:pPr>
        <w:tabs>
          <w:tab w:pos="567" w:val="left"/>
        </w:tabs>
        <w:ind w:left="567" w:hanging="567"/>
      </w:pPr>
      <w:r>
        <w:t>3.</w:t>
      </w:r>
      <w:r>
        <w:tab/>
      </w:r>
      <w:r>
        <w:t>Tatsachen vorliegen, die den Verdacht rechtfertigen, dass der Gesellschaft durch Unredlichkeit oder grobe Verletzung des Gesetzes oder der Satzung ein Schaden entstanden ist, und</w:t>
      </w:r>
    </w:p>
    <w:p>
      <w:pPr>
        <w:tabs>
          <w:tab w:pos="567" w:val="left"/>
        </w:tabs>
        <w:ind w:left="567" w:hanging="567"/>
      </w:pPr>
      <w:r>
        <w:t>4.</w:t>
      </w:r>
      <w:r>
        <w:tab/>
      </w:r>
      <w:r>
        <w:t>der Geltendmachung des Ersatzanspruchs keine überwiegenden Gründe des Gesellschaftswohls entgegenstehen.</w:t>
      </w:r>
    </w:p>
    <w:p>
      <w:r>
        <w:t xml:space="preserve">(2) </w:t>
      </w:r>
      <w:r>
        <w:rPr>
          <w:rStyle w:val="Satznummer"/>
        </w:rPr>
        <w:t>1</w:t>
      </w:r>
      <w:r>
        <w:t xml:space="preserve">Über den Antrag auf Klagezulassung entscheidet das Landgericht, in dessen Bezirk die Gesellschaft ihren Sitz hat, durch Beschluss. </w:t>
      </w:r>
      <w:r>
        <w:rPr>
          <w:rStyle w:val="Satznummer"/>
        </w:rPr>
        <w:t>2</w:t>
      </w:r>
      <w:r>
        <w:t xml:space="preserve">Ist bei dem Landgericht eine Kammer für Handelssachen gebildet, so entscheidet diese anstelle der Zivilkammer. </w:t>
      </w:r>
      <w:r>
        <w:rPr>
          <w:rStyle w:val="Satznummer"/>
        </w:rPr>
        <w:t>3</w:t>
      </w:r>
      <w:r>
        <w:t xml:space="preserve">Die Landesregierung kann die Entscheidung durch Rechtsverordnung für die Bezirke mehrerer Landgerichte einem der Landgerichte übertragen, wenn dies der Sicherung einer einheitlichen Rechtsprechung dient. </w:t>
      </w:r>
      <w:r>
        <w:rPr>
          <w:rStyle w:val="Satznummer"/>
        </w:rPr>
        <w:t>4</w:t>
      </w:r>
      <w:r>
        <w:t xml:space="preserve">Die Landesregierung kann die Ermächtigung auf die Landesjustizverwaltung übertragen. </w:t>
      </w:r>
      <w:r>
        <w:rPr>
          <w:rStyle w:val="Satznummer"/>
        </w:rPr>
        <w:t>5</w:t>
      </w:r>
      <w:r>
        <w:t xml:space="preserve">Die Antragstellung hemmt die Verjährung des streitgegenständlichen Anspruchs bis zur rechtskräftigen Antragsabweisung oder bis zum Ablauf der Frist für die Klageerhebung. </w:t>
      </w:r>
      <w:r>
        <w:rPr>
          <w:rStyle w:val="Satznummer"/>
        </w:rPr>
        <w:t>6</w:t>
      </w:r>
      <w:r>
        <w:t xml:space="preserve">Vor der Entscheidung hat das Gericht dem Antragsgegner Gelegenheit zur Stellungnahme zu geben. </w:t>
      </w:r>
      <w:r>
        <w:rPr>
          <w:rStyle w:val="Satznummer"/>
        </w:rPr>
        <w:t>7</w:t>
      </w:r>
      <w:r>
        <w:t xml:space="preserve">Gegen die Entscheidung findet die sofortige Beschwerde statt. </w:t>
      </w:r>
      <w:r>
        <w:rPr>
          <w:rStyle w:val="Satznummer"/>
        </w:rPr>
        <w:t>8</w:t>
      </w:r>
      <w:r>
        <w:t xml:space="preserve">Die Rechtsbeschwerde ist ausgeschlossen. </w:t>
      </w:r>
      <w:r>
        <w:rPr>
          <w:rStyle w:val="Satznummer"/>
        </w:rPr>
        <w:t>9</w:t>
      </w:r>
      <w:r>
        <w:t>Die Gesellschaft ist im Zulassungsverfahren und im Klageverfahren beizuladen.</w:t>
      </w:r>
    </w:p>
    <w:p>
      <w:r>
        <w:t xml:space="preserve">(3) </w:t>
      </w:r>
      <w:r>
        <w:rPr>
          <w:rStyle w:val="Satznummer"/>
        </w:rPr>
        <w:t>1</w:t>
      </w:r>
      <w:r>
        <w:t xml:space="preserve">Die Gesellschaft ist jederzeit berechtigt, ihren Ersatzanspruch selbst gerichtlich geltend zu machen; mit Klageerhebung durch die Gesellschaft wird ein anhängiges Zulassungs- oder Klageverfahren von Aktionären über diesen Ersatzanspruch unzulässig. </w:t>
      </w:r>
      <w:r>
        <w:rPr>
          <w:rStyle w:val="Satznummer"/>
        </w:rPr>
        <w:t>2</w:t>
      </w:r>
      <w:r>
        <w:t xml:space="preserve">Die Gesellschaft ist nach ihrer Wahl berechtigt, ein anhängiges Klageverfahren über ihren Ersatzanspruch in der Lage zu übernehmen, in der sich das Verfahren zur Zeit der Übernahme befindet. </w:t>
      </w:r>
      <w:r>
        <w:rPr>
          <w:rStyle w:val="Satznummer"/>
        </w:rPr>
        <w:t>3</w:t>
      </w:r>
      <w:r>
        <w:t>Die bisherigen Antragsteller oder Kläger sind in den Fällen der Sätze 1 und 2 beizuladen.</w:t>
      </w:r>
    </w:p>
    <w:p>
      <w:r>
        <w:t xml:space="preserve">(4) </w:t>
      </w:r>
      <w:r>
        <w:rPr>
          <w:rStyle w:val="Satznummer"/>
        </w:rPr>
        <w:t>1</w:t>
      </w:r>
      <w:r>
        <w:t xml:space="preserve">Hat das Gericht dem Antrag stattgegeben, kann die Klage nur binnen drei Monaten nach Eintritt der Rechtskraft der Entscheidung und sofern die Aktionäre die Gesellschaft nochmals unter Setzung einer angemessenen Frist vergeblich aufgefordert haben, selbst Klage zu erheben, vor dem nach Absatz 2 zuständigen Gericht erhoben werden. </w:t>
      </w:r>
      <w:r>
        <w:rPr>
          <w:rStyle w:val="Satznummer"/>
        </w:rPr>
        <w:t>2</w:t>
      </w:r>
      <w:r>
        <w:t xml:space="preserve">Sie ist gegen die in </w:t>
      </w:r>
      <w:hyperlink w:anchor="b191" w:history="1">
        <w:r>
          <w:rPr>
            <w:color w:val="0A3A8C"/>
            <w:u w:val="single"/>
          </w:rPr>
          <w:t xml:space="preserve">§ 147</w:t>
        </w:r>
      </w:hyperlink>
      <w:r>
        <w:t xml:space="preserve"> Abs. 1 Satz 1 genannten Personen und auf Leistung an die Gesellschaft zu richten. </w:t>
      </w:r>
      <w:r>
        <w:rPr>
          <w:rStyle w:val="Satznummer"/>
        </w:rPr>
        <w:t>3</w:t>
      </w:r>
      <w:r>
        <w:t xml:space="preserve">Eine Nebenintervention durch Aktionäre ist nach Zulassung der Klage nicht mehr möglich. </w:t>
      </w:r>
      <w:r>
        <w:rPr>
          <w:rStyle w:val="Satznummer"/>
        </w:rPr>
        <w:t>4</w:t>
      </w:r>
      <w:r>
        <w:t>Mehrere Klagen sind zur gleichzeitigen Verhandlung und Entscheidung zu verbinden.</w:t>
      </w:r>
    </w:p>
    <w:p>
      <w:r>
        <w:t xml:space="preserve">(5) </w:t>
      </w:r>
      <w:r>
        <w:rPr>
          <w:rStyle w:val="Satznummer"/>
        </w:rPr>
        <w:t>1</w:t>
      </w:r>
      <w:r>
        <w:t xml:space="preserve">Das Urteil wirkt, auch wenn es auf Klageabweisung lautet, für und gegen die Gesellschaft und die übrigen Aktionäre. </w:t>
      </w:r>
      <w:r>
        <w:rPr>
          <w:rStyle w:val="Satznummer"/>
        </w:rPr>
        <w:t>2</w:t>
      </w:r>
      <w:r>
        <w:t xml:space="preserve">Entsprechendes gilt für einen nach </w:t>
      </w:r>
      <w:hyperlink w:anchor="b193" w:history="1">
        <w:r>
          <w:rPr>
            <w:color w:val="0A3A8C"/>
            <w:u w:val="single"/>
          </w:rPr>
          <w:t xml:space="preserve">§ 149</w:t>
        </w:r>
      </w:hyperlink>
      <w:r>
        <w:t xml:space="preserve"> bekannt zu machenden Vergleich; für und gegen die Gesellschaft wirkt dieser aber nur nach Klagezulassung.</w:t>
      </w:r>
    </w:p>
    <w:p>
      <w:r>
        <w:t xml:space="preserve">(6) </w:t>
      </w:r>
      <w:r>
        <w:rPr>
          <w:rStyle w:val="Satznummer"/>
        </w:rPr>
        <w:t>1</w:t>
      </w:r>
      <w:r>
        <w:t xml:space="preserve">Die Kosten des Zulassungsverfahrens hat der Antragsteller zu tragen, soweit sein Antrag abgewiesen wird. </w:t>
      </w:r>
      <w:r>
        <w:rPr>
          <w:rStyle w:val="Satznummer"/>
        </w:rPr>
        <w:t>2</w:t>
      </w:r>
      <w:r>
        <w:t xml:space="preserve">Beruht die Abweisung auf entgegenstehenden Gründen des Gesellschaftswohls, die die Gesellschaft vor Antragstellung hätte mitteilen können, aber nicht mitgeteilt hat, so hat sie dem Antragsteller die Kosten zu erstatten. </w:t>
      </w:r>
      <w:r>
        <w:rPr>
          <w:rStyle w:val="Satznummer"/>
        </w:rPr>
        <w:t>3</w:t>
      </w:r>
      <w:r>
        <w:t xml:space="preserve">Im Übrigen ist über die Kostentragung im Endurteil zu entscheiden. </w:t>
      </w:r>
      <w:r>
        <w:rPr>
          <w:rStyle w:val="Satznummer"/>
        </w:rPr>
        <w:t>4</w:t>
      </w:r>
      <w:r>
        <w:t xml:space="preserve">Erhebt die Gesellschaft selbst Klage oder übernimmt sie ein anhängiges Klageverfahren von Aktionären, so trägt sie etwaige bis zum Zeitpunkt ihrer Klageerhebung oder Übernahme des Verfahrens entstandene Kosten des Antragstellers und kann die Klage nur unter den Voraussetzungen des </w:t>
      </w:r>
      <w:hyperlink w:anchor="b114" w:history="1">
        <w:r>
          <w:rPr>
            <w:color w:val="0A3A8C"/>
            <w:u w:val="single"/>
          </w:rPr>
          <w:t xml:space="preserve">§ 93</w:t>
        </w:r>
      </w:hyperlink>
      <w:r>
        <w:t xml:space="preserve"> Abs. 4 Satz 3 und 4 mit Ausnahme der Sperrfrist zurücknehmen. </w:t>
      </w:r>
      <w:r>
        <w:rPr>
          <w:rStyle w:val="Satznummer"/>
        </w:rPr>
        <w:t>5</w:t>
      </w:r>
      <w:r>
        <w:t xml:space="preserve">Wird die Klage ganz oder teilweise abgewiesen, hat die Gesellschaft den Klägern die von diesen zu tragenden Kosten zu erstatten, sofern nicht die Kläger die Zulassung durch vorsätzlich oder grob fahrlässig unrichtigen Vortrag erwirkt haben. </w:t>
      </w:r>
      <w:r>
        <w:rPr>
          <w:rStyle w:val="Satznummer"/>
        </w:rPr>
        <w:t>6</w:t>
      </w:r>
      <w:r>
        <w:t>Gemeinsam als Antragsteller oder als Streitgenossen handelnde Aktionäre erhalten insgesamt nur die Kosten eines Bevollmächtigten erstattet, soweit nicht ein weiterer Bevollmächtigter zur Rechtsverfolgung unerlässlich war.</w:t>
      </w:r>
    </w:p>
    <w:p>
      <w:pPr>
        <w:pStyle w:val="Heading5"/>
      </w:pPr>
      <w:bookmarkStart w:id="194" w:name="b193"/>
      <w:r>
        <w:t>§ 149 Bekanntmachungen zur Haftungsklage</w:t>
      </w:r>
      <w:r>
        <w:t xml:space="preserve"> </w:t>
      </w:r>
      <w:r>
        <w:rPr>
          <w:rStyle w:val="Suchmarke"/>
        </w:rPr>
        <w:t>#149#</w:t>
      </w:r>
      <w:bookmarkEnd w:id="194"/>
    </w:p>
    <w:p>
      <w:r>
        <w:t xml:space="preserve">(1) Nach rechtskräftiger Zulassung der Klage gemäß </w:t>
      </w:r>
      <w:hyperlink w:anchor="b192" w:history="1">
        <w:r>
          <w:rPr>
            <w:color w:val="0A3A8C"/>
            <w:u w:val="single"/>
          </w:rPr>
          <w:t xml:space="preserve">§ 148</w:t>
        </w:r>
      </w:hyperlink>
      <w:r>
        <w:t xml:space="preserve"> sind der Antrag auf Zulassung und die Verfahrensbeendigung von der börsennotierten Gesellschaft unverzüglich in den Gesellschaftsblättern bekannt zu machen.</w:t>
      </w:r>
    </w:p>
    <w:p>
      <w:r>
        <w:t xml:space="preserve">(2) </w:t>
      </w:r>
      <w:r>
        <w:rPr>
          <w:rStyle w:val="Satznummer"/>
        </w:rPr>
        <w:t>1</w:t>
      </w:r>
      <w:r>
        <w:t xml:space="preserve">Die Bekanntmachung der Verfahrensbeendigung hat deren Art, alle mit ihr im Zusammenhang stehenden Vereinbarungen einschließlich Nebenabreden im vollständigen Wortlaut sowie die Namen der Beteiligten zu enthalten. </w:t>
      </w:r>
      <w:r>
        <w:rPr>
          <w:rStyle w:val="Satznummer"/>
        </w:rPr>
        <w:t>2</w:t>
      </w:r>
      <w:r>
        <w:t xml:space="preserve">Etwaige Leistungen der Gesellschaft und ihr zurechenbare Leistungen Dritter sind gesondert zu beschreiben und hervorzuheben. </w:t>
      </w:r>
      <w:r>
        <w:rPr>
          <w:rStyle w:val="Satznummer"/>
        </w:rPr>
        <w:t>3</w:t>
      </w:r>
      <w:r>
        <w:t xml:space="preserve">Die vollständige Bekanntmachung ist Wirksamkeitsvoraussetzung für alle Leistungspflichten. </w:t>
      </w:r>
      <w:r>
        <w:rPr>
          <w:rStyle w:val="Satznummer"/>
        </w:rPr>
        <w:t>4</w:t>
      </w:r>
      <w:r>
        <w:t xml:space="preserve">Die Wirksamkeit von verfahrensbeendigenden Prozesshandlungen bleibt hiervon unberührt. </w:t>
      </w:r>
      <w:r>
        <w:rPr>
          <w:rStyle w:val="Satznummer"/>
        </w:rPr>
        <w:t>5</w:t>
      </w:r>
      <w:r>
        <w:t>Trotz Unwirksamkeit bewirkte Leistungen können zurückgefordert werden.</w:t>
      </w:r>
    </w:p>
    <w:p>
      <w:r>
        <w:t>(3) Die vorstehenden Bestimmungen gelten entsprechend für Vereinbarungen, die zur Vermeidung eines Prozesses geschlossen werden.</w:t>
      </w:r>
    </w:p>
    <w:p>
      <w:pPr>
        <w:pStyle w:val="Heading2"/>
      </w:pPr>
      <w:bookmarkStart w:id="195" w:name="b194"/>
      <w:r>
        <w:t>Fünfter Teil Rechnungslegung Gewinnverwendung</w:t>
      </w:r>
      <w:bookmarkEnd w:id="195"/>
    </w:p>
    <w:p>
      <w:pPr>
        <w:pStyle w:val="Heading3"/>
      </w:pPr>
      <w:bookmarkStart w:id="196" w:name="b195"/>
      <w:r>
        <w:t>Erster Abschnitt Jahresabschluss und Lagebericht; Entsprechenserklärung und Vergütungsbericht</w:t>
      </w:r>
      <w:bookmarkEnd w:id="196"/>
    </w:p>
    <w:p>
      <w:pPr>
        <w:pStyle w:val="Heading4"/>
      </w:pPr>
      <w:bookmarkStart w:id="197" w:name="b196"/>
      <w:r>
        <w:t>§ 150 Gesetzliche Rücklage. Kapitalrücklage</w:t>
      </w:r>
      <w:r>
        <w:t xml:space="preserve"> </w:t>
      </w:r>
      <w:r>
        <w:rPr>
          <w:rStyle w:val="Suchmarke"/>
        </w:rPr>
        <w:t>#150#</w:t>
      </w:r>
      <w:bookmarkEnd w:id="197"/>
    </w:p>
    <w:p>
      <w:r>
        <w:t>(1) In der Bilanz des nach den §§ 242, 264 des Handelsgesetzbuchs aufzustellenden Jahresabschlusses ist eine gesetzliche Rücklage zu bilden.</w:t>
      </w:r>
    </w:p>
    <w:p>
      <w:r>
        <w:t>(2) In diese ist der zwanzigste Teil des um einen Verlustvortrag aus dem Vorjahr geminderten Jahresüberschusses einzustellen, bis die gesetzliche Rücklage und die Kapitalrücklagen nach § 272 Abs. 2 Nr. 1 bis 3 des Handelsgesetzbuchs zusammen den zehnten oder den in der Satzung bestimmten höheren Teil des Grundkapitals erreichen.</w:t>
      </w:r>
    </w:p>
    <w:p>
      <w:r>
        <w:t>(3) Übersteigen die gesetzliche Rücklage und die Kapitalrücklagen nach § 272 Abs. 2 Nr. 1 bis 3 des Handelsgesetzbuchs zusammen nicht den zehnten oder den in der Satzung bestimmten höheren Teil des Grundkapitals, so dürfen sie nur verwandt werden</w:t>
      </w:r>
    </w:p>
    <w:p>
      <w:pPr>
        <w:tabs>
          <w:tab w:pos="567" w:val="left"/>
        </w:tabs>
        <w:ind w:left="567" w:hanging="567"/>
      </w:pPr>
      <w:r>
        <w:t>1.</w:t>
      </w:r>
      <w:r>
        <w:tab/>
      </w:r>
      <w:r>
        <w:t>zum Ausgleich eines Jahresfehlbetrags, soweit er nicht durch einen Gewinnvortrag aus dem Vorjahr gedeckt ist und nicht durch Auflösung anderer Gewinnrücklagen ausgeglichen werden kann;</w:t>
      </w:r>
    </w:p>
    <w:p>
      <w:pPr>
        <w:tabs>
          <w:tab w:pos="567" w:val="left"/>
        </w:tabs>
        <w:ind w:left="567" w:hanging="567"/>
      </w:pPr>
      <w:r>
        <w:t>2.</w:t>
      </w:r>
      <w:r>
        <w:tab/>
      </w:r>
      <w:r>
        <w:t>zum Ausgleich eines Verlustvortrags aus dem Vorjahr, soweit er nicht durch einen Jahresüberschuß gedeckt ist und nicht durch Auflösung anderer Gewinnrücklagen ausgeglichen werden kann.</w:t>
      </w:r>
    </w:p>
    <w:p>
      <w:r>
        <w:t xml:space="preserve">(4) </w:t>
      </w:r>
      <w:r>
        <w:rPr>
          <w:rStyle w:val="Satznummer"/>
        </w:rPr>
        <w:t>1</w:t>
      </w:r>
      <w:r>
        <w:t>Übersteigen die gesetzliche Rücklage und die Kapitalrücklagen nach § 272 Abs. 2 Nr. 1 bis 3 des Handelsgesetzbuchs zusammen den zehnten oder den in der Satzung bestimmten höheren Teil des Grundkapitals, so darf der übersteigende Betrag verwandt werden</w:t>
      </w:r>
    </w:p>
    <w:p>
      <w:pPr>
        <w:tabs>
          <w:tab w:pos="567" w:val="left"/>
        </w:tabs>
        <w:ind w:left="567" w:hanging="567"/>
      </w:pPr>
      <w:r>
        <w:t>1.</w:t>
      </w:r>
      <w:r>
        <w:tab/>
      </w:r>
      <w:r>
        <w:t>zum Ausgleich eines Jahresfehlbetrags, soweit er nicht durch einen Gewinnvortrag aus dem Vorjahr gedeckt ist;</w:t>
      </w:r>
    </w:p>
    <w:p>
      <w:pPr>
        <w:tabs>
          <w:tab w:pos="567" w:val="left"/>
        </w:tabs>
        <w:ind w:left="567" w:hanging="567"/>
      </w:pPr>
      <w:r>
        <w:t>2.</w:t>
      </w:r>
      <w:r>
        <w:tab/>
      </w:r>
      <w:r>
        <w:t>zum Ausgleich eines Verlustvortrags aus dem Vorjahr, soweit er nicht durch einen Jahresüberschuß gedeckt ist;</w:t>
      </w:r>
    </w:p>
    <w:p>
      <w:pPr>
        <w:tabs>
          <w:tab w:pos="567" w:val="left"/>
        </w:tabs>
        <w:ind w:left="567" w:hanging="567"/>
      </w:pPr>
      <w:r>
        <w:t>3.</w:t>
      </w:r>
      <w:r>
        <w:tab/>
      </w:r>
      <w:r>
        <w:t xml:space="preserve">zur Kapitalerhöhung aus Gesellschaftsmitteln nach den </w:t>
      </w:r>
      <w:hyperlink w:anchor="b261" w:history="1">
        <w:r>
          <w:rPr>
            <w:color w:val="0A3A8C"/>
            <w:u w:val="single"/>
          </w:rPr>
          <w:t xml:space="preserve">§§ 207</w:t>
        </w:r>
      </w:hyperlink>
      <w:r>
        <w:t xml:space="preserve"> bis </w:t>
      </w:r>
      <w:hyperlink w:anchor="b274" w:history="1">
        <w:r>
          <w:rPr>
            <w:color w:val="0A3A8C"/>
            <w:u w:val="single"/>
          </w:rPr>
          <w:t xml:space="preserve">220</w:t>
        </w:r>
      </w:hyperlink>
      <w:r>
        <w:t>.</w:t>
      </w:r>
    </w:p>
    <w:p>
      <w:r>
        <w:rPr>
          <w:rStyle w:val="Satznummer"/>
        </w:rPr>
        <w:t>2</w:t>
      </w:r>
      <w:r>
        <w:t>Die Verwendung nach den Nummern 1 und 2 ist nicht zulässig, wenn gleichzeitig Gewinnrücklagen zur Gewinnausschüttung aufgelöst werden.</w:t>
      </w:r>
    </w:p>
    <w:p>
      <w:pPr>
        <w:pStyle w:val="Heading4"/>
      </w:pPr>
      <w:bookmarkStart w:id="198" w:name="b197"/>
      <w:r>
        <w:t>§ 150a (weggefallen)</w:t>
      </w:r>
      <w:r>
        <w:t xml:space="preserve"> </w:t>
      </w:r>
      <w:r>
        <w:rPr>
          <w:rStyle w:val="Suchmarke"/>
        </w:rPr>
        <w:t>#150a#</w:t>
      </w:r>
      <w:bookmarkEnd w:id="198"/>
    </w:p>
    <w:p>
      <w:pPr>
        <w:pStyle w:val="Heading4"/>
      </w:pPr>
      <w:bookmarkStart w:id="199" w:name="b198"/>
      <w:r>
        <w:t>§ 151 (weggefallen)</w:t>
      </w:r>
      <w:r>
        <w:t xml:space="preserve"> </w:t>
      </w:r>
      <w:r>
        <w:rPr>
          <w:rStyle w:val="Suchmarke"/>
        </w:rPr>
        <w:t>#151#</w:t>
      </w:r>
      <w:bookmarkEnd w:id="199"/>
    </w:p>
    <w:p>
      <w:pPr>
        <w:pStyle w:val="Heading4"/>
      </w:pPr>
      <w:bookmarkStart w:id="200" w:name="b199"/>
      <w:r>
        <w:t>§ 152 Vorschriften zur Bilanz</w:t>
      </w:r>
      <w:r>
        <w:t xml:space="preserve"> </w:t>
      </w:r>
      <w:r>
        <w:rPr>
          <w:rStyle w:val="Suchmarke"/>
        </w:rPr>
        <w:t>#152#</w:t>
      </w:r>
      <w:bookmarkEnd w:id="200"/>
    </w:p>
    <w:p>
      <w:r>
        <w:t xml:space="preserve">(1) </w:t>
      </w:r>
      <w:r>
        <w:rPr>
          <w:rStyle w:val="Satznummer"/>
        </w:rPr>
        <w:t>1</w:t>
      </w:r>
      <w:r>
        <w:t xml:space="preserve">Das Grundkapital ist in der Bilanz als gezeichnetes Kapital auszuweisen. </w:t>
      </w:r>
      <w:r>
        <w:rPr>
          <w:rStyle w:val="Satznummer"/>
        </w:rPr>
        <w:t>2</w:t>
      </w:r>
      <w:r>
        <w:t xml:space="preserve">Dabei ist der auf jede Aktiengattung entfallende Betrag des Grundkapitals gesondert anzugeben. </w:t>
      </w:r>
      <w:r>
        <w:rPr>
          <w:rStyle w:val="Satznummer"/>
        </w:rPr>
        <w:t>3</w:t>
      </w:r>
      <w:r>
        <w:t xml:space="preserve">Bedingtes Kapital ist mit dem Nennbetrag zu vermerken. </w:t>
      </w:r>
      <w:r>
        <w:rPr>
          <w:rStyle w:val="Satznummer"/>
        </w:rPr>
        <w:t>4</w:t>
      </w:r>
      <w:r>
        <w:t>Bestehen Mehrstimmrechtsaktien, so sind beim gezeichneten Kapital die Gesamtstimmenzahl der Mehrstimmrechtsaktien und die der übrigen Aktien zu vermerken.</w:t>
      </w:r>
    </w:p>
    <w:p>
      <w:r>
        <w:t>(2) Zu dem Posten "Kapitalrücklage" sind in der Bilanz oder im Anhang gesondert anzugeben</w:t>
      </w:r>
    </w:p>
    <w:p>
      <w:pPr>
        <w:tabs>
          <w:tab w:pos="567" w:val="left"/>
        </w:tabs>
        <w:ind w:left="567" w:hanging="567"/>
      </w:pPr>
      <w:r>
        <w:t>1.</w:t>
      </w:r>
      <w:r>
        <w:tab/>
      </w:r>
      <w:r>
        <w:t>der Betrag, der während des Geschäftsjahrs eingestellt wurde;</w:t>
      </w:r>
    </w:p>
    <w:p>
      <w:pPr>
        <w:tabs>
          <w:tab w:pos="567" w:val="left"/>
        </w:tabs>
        <w:ind w:left="567" w:hanging="567"/>
      </w:pPr>
      <w:r>
        <w:t>2.</w:t>
      </w:r>
      <w:r>
        <w:tab/>
      </w:r>
      <w:r>
        <w:t>der Betrag, der für das Geschäftsjahr entnommen wird.</w:t>
      </w:r>
    </w:p>
    <w:p>
      <w:r>
        <w:t>(3) Zu den einzelnen Posten der Gewinnrücklagen sind in der Bilanz oder im Anhang jeweils gesondert anzugeben</w:t>
      </w:r>
    </w:p>
    <w:p>
      <w:pPr>
        <w:tabs>
          <w:tab w:pos="567" w:val="left"/>
        </w:tabs>
        <w:ind w:left="567" w:hanging="567"/>
      </w:pPr>
      <w:r>
        <w:t>1.</w:t>
      </w:r>
      <w:r>
        <w:tab/>
      </w:r>
      <w:r>
        <w:t>die Beträge, die die Hauptversammlung aus dem Bilanzgewinn des Vorjahrs eingestellt hat;</w:t>
      </w:r>
    </w:p>
    <w:p>
      <w:pPr>
        <w:tabs>
          <w:tab w:pos="567" w:val="left"/>
        </w:tabs>
        <w:ind w:left="567" w:hanging="567"/>
      </w:pPr>
      <w:r>
        <w:t>2.</w:t>
      </w:r>
      <w:r>
        <w:tab/>
      </w:r>
      <w:r>
        <w:t>die Beträge, die aus dem Jahresüberschuß des Geschäftsjahrs eingestellt werden;</w:t>
      </w:r>
    </w:p>
    <w:p>
      <w:pPr>
        <w:tabs>
          <w:tab w:pos="567" w:val="left"/>
        </w:tabs>
        <w:ind w:left="567" w:hanging="567"/>
      </w:pPr>
      <w:r>
        <w:t>3.</w:t>
      </w:r>
      <w:r>
        <w:tab/>
      </w:r>
      <w:r>
        <w:t>die Beträge, die für das Geschäftsjahr entnommen werden.</w:t>
      </w:r>
    </w:p>
    <w:p>
      <w:r>
        <w:t xml:space="preserve">(4) </w:t>
      </w:r>
      <w:r>
        <w:rPr>
          <w:rStyle w:val="Satznummer"/>
        </w:rPr>
        <w:t>1</w:t>
      </w:r>
      <w:r>
        <w:t xml:space="preserve">Die Absätze 1 bis 3 sind nicht anzuwenden auf Aktiengesellschaften, die Kleinstkapitalgesellschaften im Sinne des § 267a des Handelsgesetzbuchs sind, wenn sie von der Erleichterung nach § 266 Absatz 1 Satz 4 des Handelsgesetzbuchs Gebrauch machen. </w:t>
      </w:r>
      <w:r>
        <w:rPr>
          <w:rStyle w:val="Satznummer"/>
        </w:rPr>
        <w:t>2</w:t>
      </w:r>
      <w:r>
        <w:t>Kleine Aktiengesellschaften im Sinne des § 267 Absatz 1 des Handelsgesetzbuchs haben die Absätze 2 und 3 mit der Maßgabe anzuwenden, dass die Angaben in der Bilanz zu machen sind.</w:t>
      </w:r>
    </w:p>
    <w:p>
      <w:pPr>
        <w:pStyle w:val="Heading4"/>
      </w:pPr>
      <w:bookmarkStart w:id="201" w:name="b200"/>
      <w:r>
        <w:t>§§ 153 bis 157 (weggefallen)</w:t>
      </w:r>
      <w:bookmarkEnd w:id="201"/>
    </w:p>
    <w:p>
      <w:pPr>
        <w:pStyle w:val="Heading4"/>
      </w:pPr>
      <w:bookmarkStart w:id="202" w:name="b201"/>
      <w:r>
        <w:t>§ 158 Vorschriften zur Gewinn- und Verlustrechnung</w:t>
      </w:r>
      <w:r>
        <w:t xml:space="preserve"> </w:t>
      </w:r>
      <w:r>
        <w:rPr>
          <w:rStyle w:val="Suchmarke"/>
        </w:rPr>
        <w:t>#158#</w:t>
      </w:r>
      <w:bookmarkEnd w:id="202"/>
    </w:p>
    <w:p>
      <w:r>
        <w:t xml:space="preserve">(1) </w:t>
      </w:r>
      <w:r>
        <w:rPr>
          <w:rStyle w:val="Satznummer"/>
        </w:rPr>
        <w:t>1</w:t>
      </w:r>
      <w:r>
        <w:t>Die Gewinn- und Verlustrechnung ist nach dem Posten "Jahresüberschuß/Jahresfehlbetrag" in Fortführung der Numerierung um die folgenden Posten zu ergänzen:</w:t>
      </w:r>
    </w:p>
    <w:p>
      <w:pPr>
        <w:tabs>
          <w:tab w:pos="567" w:val="left"/>
        </w:tabs>
        <w:ind w:left="567" w:hanging="567"/>
      </w:pPr>
      <w:r>
        <w:t>1.</w:t>
      </w:r>
      <w:r>
        <w:tab/>
      </w:r>
      <w:r>
        <w:t>Gewinnvortrag/Verlustvortrag aus dem Vorjahr</w:t>
      </w:r>
    </w:p>
    <w:p>
      <w:pPr>
        <w:tabs>
          <w:tab w:pos="567" w:val="left"/>
        </w:tabs>
        <w:ind w:left="567" w:hanging="567"/>
      </w:pPr>
      <w:r>
        <w:t>2.</w:t>
      </w:r>
      <w:r>
        <w:tab/>
      </w:r>
      <w:r>
        <w:t>Entnahmen aus der Kapitalrücklage</w:t>
      </w:r>
    </w:p>
    <w:p>
      <w:pPr>
        <w:tabs>
          <w:tab w:pos="567" w:val="left"/>
        </w:tabs>
        <w:ind w:left="567" w:hanging="567"/>
      </w:pPr>
      <w:r>
        <w:t>3.</w:t>
      </w:r>
      <w:r>
        <w:tab/>
      </w:r>
      <w:r>
        <w:t>Entnahmen aus Gewinnrücklagen</w:t>
      </w:r>
    </w:p>
    <w:p>
      <w:pPr>
        <w:tabs>
          <w:tab w:pos="1134" w:val="left"/>
        </w:tabs>
        <w:ind w:left="1134" w:hanging="567"/>
      </w:pPr>
      <w:r>
        <w:t>a)</w:t>
      </w:r>
      <w:r>
        <w:tab/>
      </w:r>
      <w:r>
        <w:t>aus der gesetzlichen Rücklage</w:t>
      </w:r>
    </w:p>
    <w:p>
      <w:pPr>
        <w:tabs>
          <w:tab w:pos="1134" w:val="left"/>
        </w:tabs>
        <w:ind w:left="1134" w:hanging="567"/>
      </w:pPr>
      <w:r>
        <w:t>b)</w:t>
      </w:r>
      <w:r>
        <w:tab/>
      </w:r>
      <w:r>
        <w:t>aus der Rücklage für Anteile an einem herrschenden oder mehrheitlich beteiligten Unternehmen</w:t>
      </w:r>
    </w:p>
    <w:p>
      <w:pPr>
        <w:tabs>
          <w:tab w:pos="1134" w:val="left"/>
        </w:tabs>
        <w:ind w:left="1134" w:hanging="567"/>
      </w:pPr>
      <w:r>
        <w:t>c)</w:t>
      </w:r>
      <w:r>
        <w:tab/>
      </w:r>
      <w:r>
        <w:t>aus satzungsmäßigen Rücklagen</w:t>
      </w:r>
    </w:p>
    <w:p>
      <w:pPr>
        <w:tabs>
          <w:tab w:pos="1134" w:val="left"/>
        </w:tabs>
        <w:ind w:left="1134" w:hanging="567"/>
      </w:pPr>
      <w:r>
        <w:t>d)</w:t>
      </w:r>
      <w:r>
        <w:tab/>
      </w:r>
      <w:r>
        <w:t>aus anderen Gewinnrücklagen</w:t>
      </w:r>
    </w:p>
    <w:p>
      <w:pPr>
        <w:tabs>
          <w:tab w:pos="567" w:val="left"/>
        </w:tabs>
        <w:ind w:left="567" w:hanging="567"/>
      </w:pPr>
      <w:r>
        <w:t>4.</w:t>
      </w:r>
      <w:r>
        <w:tab/>
      </w:r>
      <w:r>
        <w:t>Einstellungen in Gewinnrücklagen</w:t>
      </w:r>
    </w:p>
    <w:p>
      <w:pPr>
        <w:tabs>
          <w:tab w:pos="1134" w:val="left"/>
        </w:tabs>
        <w:ind w:left="1134" w:hanging="567"/>
      </w:pPr>
      <w:r>
        <w:t>a)</w:t>
      </w:r>
      <w:r>
        <w:tab/>
      </w:r>
      <w:r>
        <w:t>in die gesetzliche Rücklage</w:t>
      </w:r>
    </w:p>
    <w:p>
      <w:pPr>
        <w:tabs>
          <w:tab w:pos="1134" w:val="left"/>
        </w:tabs>
        <w:ind w:left="1134" w:hanging="567"/>
      </w:pPr>
      <w:r>
        <w:t>b)</w:t>
      </w:r>
      <w:r>
        <w:tab/>
      </w:r>
      <w:r>
        <w:t>in die Rücklage für Anteile an einem herrschenden oder mehrheitlich beteiligten Unternehmen</w:t>
      </w:r>
    </w:p>
    <w:p>
      <w:pPr>
        <w:tabs>
          <w:tab w:pos="1134" w:val="left"/>
        </w:tabs>
        <w:ind w:left="1134" w:hanging="567"/>
      </w:pPr>
      <w:r>
        <w:t>c)</w:t>
      </w:r>
      <w:r>
        <w:tab/>
      </w:r>
      <w:r>
        <w:t>in satzungsmäßige Rücklagen</w:t>
      </w:r>
    </w:p>
    <w:p>
      <w:pPr>
        <w:tabs>
          <w:tab w:pos="1134" w:val="left"/>
        </w:tabs>
        <w:ind w:left="1134" w:hanging="567"/>
      </w:pPr>
      <w:r>
        <w:t>d)</w:t>
      </w:r>
      <w:r>
        <w:tab/>
      </w:r>
      <w:r>
        <w:t>in andere Gewinnrücklagen</w:t>
      </w:r>
    </w:p>
    <w:p>
      <w:pPr>
        <w:tabs>
          <w:tab w:pos="567" w:val="left"/>
        </w:tabs>
        <w:ind w:left="567" w:hanging="567"/>
      </w:pPr>
      <w:r>
        <w:t>5.</w:t>
      </w:r>
      <w:r>
        <w:tab/>
      </w:r>
      <w:r>
        <w:t>Bilanzgewinn/Bilanzverlust.</w:t>
      </w:r>
    </w:p>
    <w:p>
      <w:r>
        <w:rPr>
          <w:rStyle w:val="Satznummer"/>
        </w:rPr>
        <w:t>2</w:t>
      </w:r>
      <w:r>
        <w:t>Die Angaben nach Satz 1 können auch im Anhang gemacht werden.</w:t>
      </w:r>
    </w:p>
    <w:p>
      <w:r>
        <w:t xml:space="preserve">(2) </w:t>
      </w:r>
      <w:r>
        <w:rPr>
          <w:rStyle w:val="Satznummer"/>
        </w:rPr>
        <w:t>1</w:t>
      </w:r>
      <w:r>
        <w:t xml:space="preserve">Von dem Ertrag aus einem Gewinnabführungs- oder Teilgewinnabführungsvertrag ist ein vertraglich zu leistender Ausgleich für außenstehende Gesellschafter abzusetzen; übersteigt dieser den Ertrag, so ist der übersteigende Betrag unter den Aufwendungen aus Verlustübernahme auszuweisen. </w:t>
      </w:r>
      <w:r>
        <w:rPr>
          <w:rStyle w:val="Satznummer"/>
        </w:rPr>
        <w:t>2</w:t>
      </w:r>
      <w:r>
        <w:t>Andere Beträge dürfen nicht abgesetzt werden.</w:t>
      </w:r>
    </w:p>
    <w:p>
      <w:r>
        <w:t>(3) Die Absätze 1 und 2 sind nicht anzuwenden auf Aktiengesellschaften, die Kleinstkapitalgesellschaften im Sinne des § 267a des Handelsgesetzbuchs sind, wenn sie von der Erleichterung nach § 275 Absatz 5 des Handelsgesetzbuchs Gebrauch machen.</w:t>
      </w:r>
    </w:p>
    <w:p>
      <w:pPr>
        <w:pStyle w:val="Heading4"/>
      </w:pPr>
      <w:bookmarkStart w:id="203" w:name="b202"/>
      <w:r>
        <w:t>§ 159</w:t>
      </w:r>
      <w:r>
        <w:t xml:space="preserve"> </w:t>
      </w:r>
      <w:r>
        <w:rPr>
          <w:rStyle w:val="Suchmarke"/>
        </w:rPr>
        <w:t>#159#</w:t>
      </w:r>
      <w:bookmarkEnd w:id="203"/>
    </w:p>
    <w:p>
      <w:r>
        <w:t>-</w:t>
      </w:r>
    </w:p>
    <w:p>
      <w:pPr>
        <w:pStyle w:val="Heading4"/>
      </w:pPr>
      <w:bookmarkStart w:id="204" w:name="b203"/>
      <w:r>
        <w:t>§ 160 Vorschriften zum Anhang</w:t>
      </w:r>
      <w:r>
        <w:t xml:space="preserve"> </w:t>
      </w:r>
      <w:r>
        <w:rPr>
          <w:rStyle w:val="Suchmarke"/>
        </w:rPr>
        <w:t>#160#</w:t>
      </w:r>
      <w:bookmarkEnd w:id="204"/>
    </w:p>
    <w:p>
      <w:r>
        <w:t>(1) In jedem Anhang sind auch Angaben zu machen über</w:t>
      </w:r>
    </w:p>
    <w:p>
      <w:pPr>
        <w:tabs>
          <w:tab w:pos="567" w:val="left"/>
        </w:tabs>
        <w:ind w:left="567" w:hanging="567"/>
      </w:pPr>
      <w:r>
        <w:t>1.</w:t>
      </w:r>
      <w:r>
        <w:tab/>
      </w:r>
      <w:r>
        <w:t>den Bestand und den Zugang an Aktien, die ein Aktionär für Rechnung der Gesellschaft oder eines abhängigen oder eines im Mehrheitsbesitz der Gesellschaft stehenden Unternehmens oder ein abhängiges oder im Mehrheitsbesitz der Gesellschaft stehendes Unternehmen als Gründer oder Zeichner oder in Ausübung eines bei einer bedingten Kapitalerhöhung eingeräumten Umtausch- oder Bezugsrechts übernommen hat; sind solche Aktien im Geschäftsjahr verwertet worden, so ist auch über die Verwertung unter Angabe des Erlöses und die Verwendung des Erlöses zu berichten;</w:t>
      </w:r>
    </w:p>
    <w:p>
      <w:pPr>
        <w:tabs>
          <w:tab w:pos="567" w:val="left"/>
        </w:tabs>
        <w:ind w:left="567" w:hanging="567"/>
      </w:pPr>
      <w:r>
        <w:t>2.</w:t>
      </w:r>
      <w:r>
        <w:tab/>
      </w:r>
      <w:r>
        <w:t xml:space="preserve">den Bestand an eigenen Aktien der Gesellschaft, die sie, ein abhängiges oder im Mehrheitsbesitz der Gesellschaft stehendes Unternehmen oder ein anderer für Rechnung der Gesellschaft oder eines abhängigen oder eines im Mehrheitsbesitz der Gesellschaft stehenden Unternehmens erworben oder als Pfand genommen hat; dabei sind die Zahl dieser Aktien und der auf sie entfallende Betrag des Grundkapitals sowie deren Anteil am Grundkapital, für erworbene Aktien ferner der Zeitpunkt des Erwerbs und die Gründe für den Erwerb anzugeben. </w:t>
      </w:r>
      <w:r>
        <w:rPr>
          <w:rStyle w:val="Satznummer"/>
        </w:rPr>
        <w:t>2</w:t>
      </w:r>
      <w:r>
        <w:t>Sind solche Aktien im Geschäftsjahr erworben oder veräußert worden, so ist auch über den Erwerb oder die Veräußerung unter Angabe der Zahl dieser Aktien, des auf sie entfallenden Betrags des Grundkapitals, des Anteils am Grundkapital und des Erwerbs- oder Veräußerungspreises, sowie über die Verwendung des Erlöses zu berichten;</w:t>
      </w:r>
    </w:p>
    <w:p>
      <w:pPr>
        <w:tabs>
          <w:tab w:pos="567" w:val="left"/>
        </w:tabs>
        <w:ind w:left="567" w:hanging="567"/>
      </w:pPr>
      <w:r>
        <w:t>3.</w:t>
      </w:r>
      <w:r>
        <w:tab/>
      </w:r>
      <w:r>
        <w:t>die Zahl der Aktien jeder Gattung, wobei zu Nennbetragsaktien der Nennbetrag und zu Stückaktien der rechnerische Wert für jede von ihnen anzugeben ist, sofern sich diese Angaben nicht aus der Bilanz ergeben; davon sind Aktien, die bei einer bedingten Kapitalerhöhung oder einem genehmigten Kapital im Geschäftsjahr gezeichnet wurden, jeweils gesondert anzugeben;</w:t>
      </w:r>
    </w:p>
    <w:p>
      <w:pPr>
        <w:tabs>
          <w:tab w:pos="567" w:val="left"/>
        </w:tabs>
        <w:ind w:left="567" w:hanging="567"/>
      </w:pPr>
      <w:r>
        <w:t>4.</w:t>
      </w:r>
      <w:r>
        <w:tab/>
      </w:r>
      <w:r>
        <w:t>das genehmigte Kapital;</w:t>
      </w:r>
    </w:p>
    <w:p>
      <w:pPr>
        <w:tabs>
          <w:tab w:pos="567" w:val="left"/>
        </w:tabs>
        <w:ind w:left="567" w:hanging="567"/>
      </w:pPr>
      <w:r>
        <w:t>5.</w:t>
      </w:r>
      <w:r>
        <w:tab/>
      </w:r>
      <w:r>
        <w:t xml:space="preserve">die Zahl der Bezugsrechte gemäß </w:t>
      </w:r>
      <w:hyperlink w:anchor="b244" w:history="1">
        <w:r>
          <w:rPr>
            <w:color w:val="0A3A8C"/>
            <w:u w:val="single"/>
          </w:rPr>
          <w:t xml:space="preserve">§ 192</w:t>
        </w:r>
      </w:hyperlink>
      <w:r>
        <w:t xml:space="preserve"> Absatz 2 Nummer 3;</w:t>
      </w:r>
    </w:p>
    <w:p>
      <w:pPr>
        <w:tabs>
          <w:tab w:pos="567" w:val="left"/>
        </w:tabs>
        <w:ind w:left="567" w:hanging="567"/>
      </w:pPr>
      <w:r>
        <w:t>6.</w:t>
      </w:r>
      <w:r>
        <w:tab/>
      </w:r>
      <w:r>
        <w:t>(weggefallen)</w:t>
      </w:r>
    </w:p>
    <w:p>
      <w:pPr>
        <w:tabs>
          <w:tab w:pos="567" w:val="left"/>
        </w:tabs>
        <w:ind w:left="567" w:hanging="567"/>
      </w:pPr>
      <w:r>
        <w:t>7.</w:t>
      </w:r>
      <w:r>
        <w:tab/>
      </w:r>
      <w:r>
        <w:t>das Bestehen einer wechselseitigen Beteiligung unter Angabe des Unternehmens;</w:t>
      </w:r>
    </w:p>
    <w:p>
      <w:pPr>
        <w:tabs>
          <w:tab w:pos="567" w:val="left"/>
        </w:tabs>
        <w:ind w:left="567" w:hanging="567"/>
      </w:pPr>
      <w:r>
        <w:t>8.</w:t>
      </w:r>
      <w:r>
        <w:tab/>
      </w:r>
      <w:r>
        <w:t xml:space="preserve">das Bestehen einer Beteiligung, die nach </w:t>
      </w:r>
      <w:hyperlink w:anchor="b22" w:history="1">
        <w:r>
          <w:rPr>
            <w:color w:val="0A3A8C"/>
            <w:u w:val="single"/>
          </w:rPr>
          <w:t xml:space="preserve">§ 20</w:t>
        </w:r>
      </w:hyperlink>
      <w:r>
        <w:t xml:space="preserve"> Abs. 1 oder Abs. 4 dieses Gesetzes oder nach § 33 Absatz 1 oder Absatz 2 des Wertpapierhandelsgesetzes mitgeteilt worden ist; dabei ist der nach </w:t>
      </w:r>
      <w:hyperlink w:anchor="b22" w:history="1">
        <w:r>
          <w:rPr>
            <w:color w:val="0A3A8C"/>
            <w:u w:val="single"/>
          </w:rPr>
          <w:t xml:space="preserve">§ 20</w:t>
        </w:r>
      </w:hyperlink>
      <w:r>
        <w:t xml:space="preserve"> Abs. 6 dieses Gesetzes oder der nach § 40 Absatz 1 des Wertpapierhandelsgesetzes veröffentlichte Inhalt der Mitteilung anzugeben.</w:t>
      </w:r>
    </w:p>
    <w:p>
      <w:r>
        <w:t>(2) Die Berichterstattung hat insoweit zu unterbleiben, als es für das Wohl der Bundesrepublik Deutschland oder eines ihrer Länder erforderlich ist.</w:t>
      </w:r>
    </w:p>
    <w:p>
      <w:r>
        <w:t xml:space="preserve">(3) </w:t>
      </w:r>
      <w:r>
        <w:rPr>
          <w:rStyle w:val="Satznummer"/>
        </w:rPr>
        <w:t>1</w:t>
      </w:r>
      <w:r>
        <w:t xml:space="preserve">Absatz 1 Nummer 1 und 3 bis 8 ist nicht anzuwenden auf Aktiengesellschaften, die kleine Kapitalgesellschaften im Sinne des § 267 Absatz 1 des Handelsgesetzbuchs sind. </w:t>
      </w:r>
      <w:r>
        <w:rPr>
          <w:rStyle w:val="Satznummer"/>
        </w:rPr>
        <w:t>2</w:t>
      </w:r>
      <w:r>
        <w:t>Absatz 1 Nummer 2 ist auf diese Aktiengesellschaften mit der Maßgabe anzuwenden, dass die Gesellschaft nur Angaben zu von ihr selbst oder durch eine andere Person für Rechnung der Gesellschaft erworbenen und gehaltenen eigenen Aktien machen muss und über die Verwendung des Erlöses aus der Veräußerung eigener Aktien nicht zu berichten braucht.</w:t>
      </w:r>
    </w:p>
    <w:p>
      <w:pPr>
        <w:pStyle w:val="Heading4"/>
      </w:pPr>
      <w:bookmarkStart w:id="205" w:name="b204"/>
      <w:r>
        <w:t>§ 161 Erklärung zum Corporate Governance Kodex</w:t>
      </w:r>
      <w:r>
        <w:t xml:space="preserve"> </w:t>
      </w:r>
      <w:r>
        <w:rPr>
          <w:rStyle w:val="Suchmarke"/>
        </w:rPr>
        <w:t>#161#</w:t>
      </w:r>
      <w:bookmarkEnd w:id="205"/>
    </w:p>
    <w:p>
      <w:r>
        <w:t xml:space="preserve">(1) </w:t>
      </w:r>
      <w:r>
        <w:rPr>
          <w:rStyle w:val="Satznummer"/>
        </w:rPr>
        <w:t>1</w:t>
      </w:r>
      <w:r>
        <w:t xml:space="preserve">Vorstand und Aufsichtsrat der börsennotierten Gesellschaft erklären jährlich, dass den vom Bundesministerium der Justiz und für Verbraucherschutz im amtlichen Teil des Bundesanzeigers bekannt gemachten Empfehlungen der „Regierungskommission Deutscher Corporate Governance Kodex“ entsprochen wurde und wird oder welche Empfehlungen nicht angewendet wurden oder werden und warum nicht. </w:t>
      </w:r>
      <w:r>
        <w:rPr>
          <w:rStyle w:val="Satznummer"/>
        </w:rPr>
        <w:t>2</w:t>
      </w:r>
      <w:r>
        <w:t>Gleiches gilt für Vorstand und Aufsichtsrat einer Gesellschaft, die ausschließlich andere Wertpapiere als Aktien zum Handel an einem organisierten Markt im Sinn des § 2 Absatz 11 des Wertpapierhandelsgesetzes ausgegeben hat und deren ausgegebene Aktien auf eigene Veranlassung über ein multilaterales Handelssystem im Sinn des § 2 Absatz 8 Satz 1 Nummer 8 des Wertpapierhandelsgesetzes gehandelt werden.</w:t>
      </w:r>
    </w:p>
    <w:p>
      <w:r>
        <w:t>(2) Die Erklärung ist auf der Internetseite der Gesellschaft dauerhaft öffentlich zugänglich zu machen.</w:t>
      </w:r>
    </w:p>
    <w:p>
      <w:pPr>
        <w:pStyle w:val="Heading4"/>
      </w:pPr>
      <w:bookmarkStart w:id="206" w:name="b205"/>
      <w:r>
        <w:t>§ 162 Vergütungsbericht</w:t>
      </w:r>
      <w:r>
        <w:t xml:space="preserve"> </w:t>
      </w:r>
      <w:r>
        <w:rPr>
          <w:rStyle w:val="Suchmarke"/>
        </w:rPr>
        <w:t>#162#</w:t>
      </w:r>
      <w:bookmarkEnd w:id="206"/>
    </w:p>
    <w:p>
      <w:r>
        <w:t xml:space="preserve">(1) </w:t>
      </w:r>
      <w:r>
        <w:rPr>
          <w:rStyle w:val="Satznummer"/>
        </w:rPr>
        <w:t>1</w:t>
      </w:r>
      <w:r>
        <w:t xml:space="preserve">Vorstand und Aufsichtsrat der börsennotierten Gesellschaft erstellen jährlich einen klaren und verständlichen Bericht über die im letzten Geschäftsjahr jedem einzelnen gegenwärtigen oder früheren Mitglied des Vorstands und des Aufsichtsrats von der Gesellschaft und von Unternehmen desselben Konzerns (§ 290 des Handelsgesetzbuchs) gewährte und geschuldete Vergütung. </w:t>
      </w:r>
      <w:r>
        <w:rPr>
          <w:rStyle w:val="Satznummer"/>
        </w:rPr>
        <w:t>2</w:t>
      </w:r>
      <w:r>
        <w:t>Der Vergütungsbericht hat unter Namensnennung der in Satz 1 genannten Personen die folgenden Angaben zu enthalten, soweit sie inhaltlich tatsächlich vorliegen:</w:t>
      </w:r>
    </w:p>
    <w:p>
      <w:pPr>
        <w:tabs>
          <w:tab w:pos="567" w:val="left"/>
        </w:tabs>
        <w:ind w:left="567" w:hanging="567"/>
      </w:pPr>
      <w:r>
        <w:t>1.</w:t>
      </w:r>
      <w:r>
        <w:tab/>
      </w:r>
      <w:r>
        <w:t>alle festen und variablen Vergütungsbestandteile, deren jeweiliger relativer Anteil sowie eine Erläuterung, wie sie dem maßgeblichen Vergütungssystem entsprechen, wie die Vergütung die langfristige Entwicklung der Gesellschaft fördert und wie die Leistungskriterien angewendet wurden;</w:t>
      </w:r>
    </w:p>
    <w:p>
      <w:pPr>
        <w:tabs>
          <w:tab w:pos="567" w:val="left"/>
        </w:tabs>
        <w:ind w:left="567" w:hanging="567"/>
      </w:pPr>
      <w:r>
        <w:t>2.</w:t>
      </w:r>
      <w:r>
        <w:tab/>
      </w:r>
      <w:r>
        <w:t>eine vergleichende Darstellung der jährlichen Veränderung der Vergütung, der Ertragsentwicklung der Gesellschaft sowie der über die letzten fünf Geschäftsjahre betrachteten durchschnittlichen Vergütung von Arbeitnehmern auf Vollzeitäquivalenzbasis, einschließlich einer Erläuterung, welcher Kreis von Arbeitnehmern einbezogen wurde;</w:t>
      </w:r>
    </w:p>
    <w:p>
      <w:pPr>
        <w:tabs>
          <w:tab w:pos="567" w:val="left"/>
        </w:tabs>
        <w:ind w:left="567" w:hanging="567"/>
      </w:pPr>
      <w:r>
        <w:t>3.</w:t>
      </w:r>
      <w:r>
        <w:tab/>
      </w:r>
      <w:r>
        <w:t>die Anzahl der gewährten oder zugesagten Aktien und Aktienoptionen und die wichtigsten Bedingungen für die Ausübung der Rechte, einschließlich Ausübungspreis, Ausübungsdatum und etwaiger Änderungen dieser Bedingungen;</w:t>
      </w:r>
    </w:p>
    <w:p>
      <w:pPr>
        <w:tabs>
          <w:tab w:pos="567" w:val="left"/>
        </w:tabs>
        <w:ind w:left="567" w:hanging="567"/>
      </w:pPr>
      <w:r>
        <w:t>4.</w:t>
      </w:r>
      <w:r>
        <w:tab/>
      </w:r>
      <w:r>
        <w:t>Angaben dazu, ob und wie von der Möglichkeit Gebrauch gemacht wurde, variable Vergütungsbestandteile zurückzufordern;</w:t>
      </w:r>
    </w:p>
    <w:p>
      <w:pPr>
        <w:tabs>
          <w:tab w:pos="567" w:val="left"/>
        </w:tabs>
        <w:ind w:left="567" w:hanging="567"/>
      </w:pPr>
      <w:r>
        <w:t>5.</w:t>
      </w:r>
      <w:r>
        <w:tab/>
      </w:r>
      <w:r>
        <w:t>Angaben zu etwaigen Abweichungen vom Vergütungssystem des Vorstands, einschließlich einer Erläuterung der Notwendigkeit der Abweichungen, und der Angabe der konkreten Bestandteile des Vergütungssystems, von denen abgewichen wurde;</w:t>
      </w:r>
    </w:p>
    <w:p>
      <w:pPr>
        <w:tabs>
          <w:tab w:pos="567" w:val="left"/>
        </w:tabs>
        <w:ind w:left="567" w:hanging="567"/>
      </w:pPr>
      <w:r>
        <w:t>6.</w:t>
      </w:r>
      <w:r>
        <w:tab/>
      </w:r>
      <w:r>
        <w:t xml:space="preserve">eine Erläuterung, wie der Beschluss der Hauptversammlung nach </w:t>
      </w:r>
      <w:hyperlink w:anchor="b150" w:history="1">
        <w:r>
          <w:rPr>
            <w:color w:val="0A3A8C"/>
            <w:u w:val="single"/>
          </w:rPr>
          <w:t xml:space="preserve">§ 120a</w:t>
        </w:r>
      </w:hyperlink>
      <w:r>
        <w:t xml:space="preserve"> Absatz 4 oder die Erörterung nach </w:t>
      </w:r>
      <w:hyperlink w:anchor="b150" w:history="1">
        <w:r>
          <w:rPr>
            <w:color w:val="0A3A8C"/>
            <w:u w:val="single"/>
          </w:rPr>
          <w:t xml:space="preserve">§ 120a</w:t>
        </w:r>
      </w:hyperlink>
      <w:r>
        <w:t xml:space="preserve"> Absatz 5 berücksichtigt wurde;</w:t>
      </w:r>
    </w:p>
    <w:p>
      <w:pPr>
        <w:tabs>
          <w:tab w:pos="567" w:val="left"/>
        </w:tabs>
        <w:ind w:left="567" w:hanging="567"/>
      </w:pPr>
      <w:r>
        <w:t>7.</w:t>
      </w:r>
      <w:r>
        <w:tab/>
      </w:r>
      <w:r>
        <w:t>eine Erläuterung, wie die festgelegte Maximalvergütung der Vorstandsmitglieder eingehalten wurde.</w:t>
      </w:r>
    </w:p>
    <w:p>
      <w:r>
        <w:t>(2) Hinsichtlich der Vergütung jedes einzelnen Mitglieds des Vorstands hat der Vergütungsbericht ferner Angaben zu solchen Leistungen zu enthalten, die</w:t>
      </w:r>
    </w:p>
    <w:p>
      <w:pPr>
        <w:tabs>
          <w:tab w:pos="567" w:val="left"/>
        </w:tabs>
        <w:ind w:left="567" w:hanging="567"/>
      </w:pPr>
      <w:r>
        <w:t>1.</w:t>
      </w:r>
      <w:r>
        <w:tab/>
      </w:r>
      <w:r>
        <w:t>einem Vorstandsmitglied von einem Dritten im Hinblick auf seine Tätigkeit als Vorstandsmitglied zugesagt oder im Geschäftsjahr gewährt worden sind,</w:t>
      </w:r>
    </w:p>
    <w:p>
      <w:pPr>
        <w:tabs>
          <w:tab w:pos="567" w:val="left"/>
        </w:tabs>
        <w:ind w:left="567" w:hanging="567"/>
      </w:pPr>
      <w:r>
        <w:t>2.</w:t>
      </w:r>
      <w:r>
        <w:tab/>
      </w:r>
      <w:r>
        <w:t>einem Vorstandsmitglied für den Fall der vorzeitigen Beendigung seiner Tätigkeit zugesagt worden sind, einschließlich während des letzten Geschäftsjahres vereinbarter Änderungen dieser Zusagen,</w:t>
      </w:r>
    </w:p>
    <w:p>
      <w:pPr>
        <w:tabs>
          <w:tab w:pos="567" w:val="left"/>
        </w:tabs>
        <w:ind w:left="567" w:hanging="567"/>
      </w:pPr>
      <w:r>
        <w:t>3.</w:t>
      </w:r>
      <w:r>
        <w:tab/>
      </w:r>
      <w:r>
        <w:t>einem Vorstandsmitglied für den Fall der regulären Beendigung seiner Tätigkeit zugesagt worden sind, mit ihrem Barwert und dem von der Gesellschaft während des letzten Geschäftsjahres hierfür aufgewandten oder zurückgestellten Betrag, einschließlich während des letzten Geschäftsjahres vereinbarter Änderungen dieser Zusagen,</w:t>
      </w:r>
    </w:p>
    <w:p>
      <w:pPr>
        <w:tabs>
          <w:tab w:pos="567" w:val="left"/>
        </w:tabs>
        <w:ind w:left="567" w:hanging="567"/>
      </w:pPr>
      <w:r>
        <w:t>4.</w:t>
      </w:r>
      <w:r>
        <w:tab/>
      </w:r>
      <w:r>
        <w:t>einem früheren Vorstandsmitglied, das seine Tätigkeit im Laufe des letzten Geschäftsjahres beendet hat, in diesem Zusammenhang zugesagt und im Laufe des letzten Geschäftsjahres gewährt worden sind.</w:t>
      </w:r>
    </w:p>
    <w:p>
      <w:r>
        <w:t xml:space="preserve">(3) </w:t>
      </w:r>
      <w:r>
        <w:rPr>
          <w:rStyle w:val="Satznummer"/>
        </w:rPr>
        <w:t>1</w:t>
      </w:r>
      <w:r>
        <w:t xml:space="preserve">Der Vergütungsbericht ist durch den Abschlussprüfer zu prüfen. </w:t>
      </w:r>
      <w:r>
        <w:rPr>
          <w:rStyle w:val="Satznummer"/>
        </w:rPr>
        <w:t>2</w:t>
      </w:r>
      <w:r>
        <w:t xml:space="preserve">Er hat zu prüfen, ob die Angaben nach den Absätzen 1 und 2 gemacht wurden. </w:t>
      </w:r>
      <w:r>
        <w:rPr>
          <w:rStyle w:val="Satznummer"/>
        </w:rPr>
        <w:t>3</w:t>
      </w:r>
      <w:r>
        <w:t xml:space="preserve">Er hat einen Vermerk über die Prüfung des Vergütungsberichts zu erstellen. </w:t>
      </w:r>
      <w:r>
        <w:rPr>
          <w:rStyle w:val="Satznummer"/>
        </w:rPr>
        <w:t>4</w:t>
      </w:r>
      <w:r>
        <w:t xml:space="preserve">Dieser ist dem Vergütungsbericht beizufügen. </w:t>
      </w:r>
      <w:r>
        <w:rPr>
          <w:rStyle w:val="Satznummer"/>
        </w:rPr>
        <w:t>5</w:t>
      </w:r>
      <w:r>
        <w:t>§ 323 des Handelsgesetzbuchs gilt entsprechend.</w:t>
      </w:r>
    </w:p>
    <w:p>
      <w:r>
        <w:t xml:space="preserve">(4) Der Vergütungsbericht und der Vermerk nach Absatz 3 Satz 3 sind nach dem Beschluss gemäß </w:t>
      </w:r>
      <w:hyperlink w:anchor="b150" w:history="1">
        <w:r>
          <w:rPr>
            <w:color w:val="0A3A8C"/>
            <w:u w:val="single"/>
          </w:rPr>
          <w:t xml:space="preserve">§ 120a</w:t>
        </w:r>
      </w:hyperlink>
      <w:r>
        <w:t xml:space="preserve"> Absatz 4 Satz 1 oder nach der Vorlage gemäß § 120a Absatz 5 von der Gesellschaft zehn Jahre lang auf ihrer Internetseite kostenfrei öffentlich zugänglich zu machen.</w:t>
      </w:r>
    </w:p>
    <w:p>
      <w:r>
        <w:t xml:space="preserve">(5) </w:t>
      </w:r>
      <w:r>
        <w:rPr>
          <w:rStyle w:val="Satznummer"/>
        </w:rPr>
        <w:t>1</w:t>
      </w:r>
      <w:r>
        <w:t xml:space="preserve">Der Vergütungsbericht darf keine Daten enthalten, die sich auf die Familiensituation einzelner Mitglieder des Vorstands oder des Aufsichtsrats beziehen. </w:t>
      </w:r>
      <w:r>
        <w:rPr>
          <w:rStyle w:val="Satznummer"/>
        </w:rPr>
        <w:t>2</w:t>
      </w:r>
      <w:r>
        <w:t xml:space="preserve">Personenbezogene Angaben zu früheren Mitgliedern des Vorstands oder des Aufsichtsrats sind in allen Vergütungsberichten, die nach Ablauf von zehn Jahren nach Ablauf des Geschäftsjahres, in dem das jeweilige Mitglied seine Tätigkeit beendet hat, zu erstellen sind, zu unterlassen. </w:t>
      </w:r>
      <w:r>
        <w:rPr>
          <w:rStyle w:val="Satznummer"/>
        </w:rPr>
        <w:t>3</w:t>
      </w:r>
      <w:r>
        <w:t>Im Übrigen sind personenbezogene Daten nach Ablauf der Frist des Absatzes 4 aus Vergütungsberichten zu entfernen, die über die Internetseite zugänglich sind.</w:t>
      </w:r>
    </w:p>
    <w:p>
      <w:r>
        <w:t xml:space="preserve">(6) </w:t>
      </w:r>
      <w:r>
        <w:rPr>
          <w:rStyle w:val="Satznummer"/>
        </w:rPr>
        <w:t>1</w:t>
      </w:r>
      <w:r>
        <w:t xml:space="preserve">In den Vergütungsbericht brauchen keine Angaben aufgenommen zu werden, die nach vernünftiger kaufmännischer Beurteilung geeignet sind, der Gesellschaft einen nicht unerheblichen Nachteil zuzufügen. </w:t>
      </w:r>
      <w:r>
        <w:rPr>
          <w:rStyle w:val="Satznummer"/>
        </w:rPr>
        <w:t>2</w:t>
      </w:r>
      <w:r>
        <w:t>Macht die Gesellschaft von der Möglichkeit nach Satz 1 Gebrauch und entfallen die Gründe für die Nichtaufnahme der Angaben nach der Veröffentlichung des Vergütungsberichts, sind die Angaben in den darauf folgenden Vergütungsbericht aufzunehmen.</w:t>
      </w:r>
    </w:p>
    <w:p>
      <w:pPr>
        <w:pStyle w:val="Heading3"/>
      </w:pPr>
      <w:bookmarkStart w:id="207" w:name="b206"/>
      <w:r>
        <w:t>Zweiter Abschnitt Prüfung des Jahresabschlusses</w:t>
      </w:r>
      <w:bookmarkEnd w:id="207"/>
    </w:p>
    <w:p>
      <w:pPr>
        <w:pStyle w:val="Heading4"/>
      </w:pPr>
      <w:bookmarkStart w:id="208" w:name="b207"/>
      <w:r>
        <w:t>Erster Unterabschnitt Prüfung durch Abschlußprüfer</w:t>
      </w:r>
      <w:bookmarkEnd w:id="208"/>
    </w:p>
    <w:p>
      <w:pPr>
        <w:pStyle w:val="Heading5"/>
      </w:pPr>
      <w:bookmarkStart w:id="209" w:name="b208"/>
      <w:r>
        <w:t>§§ 163 bis 169</w:t>
      </w:r>
      <w:bookmarkEnd w:id="209"/>
    </w:p>
    <w:p>
      <w:pPr>
        <w:pStyle w:val="Heading4"/>
      </w:pPr>
      <w:bookmarkStart w:id="210" w:name="b209"/>
      <w:r>
        <w:t>Zweiter Unterabschnitt Prüfung durch den Aufsichtsrat</w:t>
      </w:r>
      <w:bookmarkEnd w:id="210"/>
    </w:p>
    <w:p>
      <w:pPr>
        <w:pStyle w:val="Heading5"/>
      </w:pPr>
      <w:bookmarkStart w:id="211" w:name="b210"/>
      <w:r>
        <w:t>§ 170 Vorlage an den Aufsichtsrat</w:t>
      </w:r>
      <w:r>
        <w:t xml:space="preserve"> </w:t>
      </w:r>
      <w:r>
        <w:rPr>
          <w:rStyle w:val="Suchmarke"/>
        </w:rPr>
        <w:t>#170#</w:t>
      </w:r>
      <w:bookmarkEnd w:id="211"/>
    </w:p>
    <w:p>
      <w:r>
        <w:t xml:space="preserve">(1) </w:t>
      </w:r>
      <w:r>
        <w:rPr>
          <w:rStyle w:val="Satznummer"/>
        </w:rPr>
        <w:t>1</w:t>
      </w:r>
      <w:r>
        <w:t xml:space="preserve">Der Vorstand hat den Jahresabschluß und den Lagebericht unverzüglich nach ihrer Aufstellung dem Aufsichtsrat vorzulegen. </w:t>
      </w:r>
      <w:r>
        <w:rPr>
          <w:rStyle w:val="Satznummer"/>
        </w:rPr>
        <w:t>2</w:t>
      </w:r>
      <w:r>
        <w:t xml:space="preserve">Satz 1 gilt entsprechend für einen Einzelabschluss nach § 325 Abs. 2a des Handelsgesetzbuchs sowie bei Mutterunternehmen (§ 290 Abs. 1, 2 des Handelsgesetzbuchs) für den Konzernabschluss und den Konzernlagebericht. </w:t>
      </w:r>
      <w:r>
        <w:rPr>
          <w:rStyle w:val="Satznummer"/>
        </w:rPr>
        <w:t>3</w:t>
      </w:r>
      <w:r>
        <w:t>Nach Satz 1 vorzulegen sind auch der gesonderte nichtfinanzielle Bericht (§ 289b des Handelsgesetzbuchs), der gesonderte nichtfinanzielle Konzernbericht (§ 315b des Handelsgesetzbuchs), der Ertragsteuerinformationsbericht (§§ 342b, 342c, 342d Absatz 2 Nummer 2 des Handelsgesetzbuchs) und die Erklärung nach § 342d Absatz 2 Nummer 1 des Handelsgesetzbuchs, sofern sie erstellt wurden.</w:t>
      </w:r>
    </w:p>
    <w:p>
      <w:r>
        <w:t xml:space="preserve">(2) </w:t>
      </w:r>
      <w:r>
        <w:rPr>
          <w:rStyle w:val="Satznummer"/>
        </w:rPr>
        <w:t>1</w:t>
      </w:r>
      <w:r>
        <w:t xml:space="preserve">Zugleich hat der Vorstand dem Aufsichtsrat den Vorschlag vorzulegen, den er der Hauptversammlung für die Verwendung des Bilanzgewinns machen will. </w:t>
      </w:r>
      <w:r>
        <w:rPr>
          <w:rStyle w:val="Satznummer"/>
        </w:rPr>
        <w:t>2</w:t>
      </w:r>
      <w:r>
        <w:t>Der Vorschlag ist, sofern er keine abweichende Gliederung bedingt, wie folgt zu gliedern:</w:t>
      </w:r>
    </w:p>
    <w:tbl>
      <w:tblPr>
        <w:tblStyle w:val="TableGrid"/>
        <w:tblW w:type="pct" w:w="5000"/>
        <w:tblLook w:firstColumn="1" w:firstRow="1" w:lastColumn="0" w:lastRow="0" w:noHBand="0" w:noVBand="1" w:val="04A0"/>
        <w:tblCaption w:val="Tabelle 1 zu § 170"/>
      </w:tblPr>
      <w:tblGrid>
        <w:gridCol w:w="3135"/>
        <w:gridCol w:w="3135"/>
        <w:gridCol w:w="3135"/>
      </w:tblGrid>
      <w:tr>
        <w:trPr>
          <w:cantSplit/>
        </w:trPr>
        <w:tc>
          <w:tcPr>
            <w:tcW w:type="dxa" w:w="3135"/>
          </w:tcPr>
          <w:p>
            <w:r>
              <w:t>1.</w:t>
            </w:r>
          </w:p>
        </w:tc>
        <w:tc>
          <w:tcPr>
            <w:tcW w:type="dxa" w:w="3135"/>
          </w:tcPr>
          <w:p>
            <w:r>
              <w:t>Verteilung an die Aktionäre</w:t>
            </w:r>
          </w:p>
        </w:tc>
        <w:tc>
          <w:tcPr>
            <w:tcW w:type="dxa" w:w="3135"/>
          </w:tcPr>
          <w:p>
            <w:r>
              <w:t>...</w:t>
            </w:r>
          </w:p>
        </w:tc>
      </w:tr>
      <w:tr>
        <w:trPr>
          <w:cantSplit/>
        </w:trPr>
        <w:tc>
          <w:tcPr>
            <w:tcW w:type="dxa" w:w="3135"/>
          </w:tcPr>
          <w:p>
            <w:r>
              <w:t>2.</w:t>
            </w:r>
          </w:p>
        </w:tc>
        <w:tc>
          <w:tcPr>
            <w:tcW w:type="dxa" w:w="3135"/>
          </w:tcPr>
          <w:p>
            <w:r>
              <w:t>Einstellung in Gewinnrücklagen</w:t>
            </w:r>
          </w:p>
        </w:tc>
        <w:tc>
          <w:tcPr>
            <w:tcW w:type="dxa" w:w="3135"/>
          </w:tcPr>
          <w:p>
            <w:r>
              <w:t>...</w:t>
            </w:r>
          </w:p>
        </w:tc>
      </w:tr>
      <w:tr>
        <w:trPr>
          <w:cantSplit/>
        </w:trPr>
        <w:tc>
          <w:tcPr>
            <w:tcW w:type="dxa" w:w="3135"/>
          </w:tcPr>
          <w:p>
            <w:r>
              <w:t>3.</w:t>
            </w:r>
          </w:p>
        </w:tc>
        <w:tc>
          <w:tcPr>
            <w:tcW w:type="dxa" w:w="3135"/>
          </w:tcPr>
          <w:p>
            <w:r>
              <w:t>Gewinnvortrag</w:t>
            </w:r>
          </w:p>
        </w:tc>
        <w:tc>
          <w:tcPr>
            <w:tcW w:type="dxa" w:w="3135"/>
          </w:tcPr>
          <w:p>
            <w:r>
              <w:t>...</w:t>
            </w:r>
          </w:p>
        </w:tc>
      </w:tr>
      <w:tr>
        <w:trPr>
          <w:cantSplit/>
        </w:trPr>
        <w:tc>
          <w:tcPr>
            <w:tcW w:type="dxa" w:w="3135"/>
          </w:tcPr>
          <w:p>
            <w:r>
              <w:t>4.</w:t>
            </w:r>
          </w:p>
        </w:tc>
        <w:tc>
          <w:tcPr>
            <w:tcW w:type="dxa" w:w="3135"/>
          </w:tcPr>
          <w:p>
            <w:r>
              <w:t>Bilanzgewinn</w:t>
            </w:r>
          </w:p>
        </w:tc>
        <w:tc>
          <w:tcPr>
            <w:tcW w:type="dxa" w:w="3135"/>
          </w:tcPr>
          <w:p>
            <w:r>
              <w:t>...</w:t>
            </w:r>
          </w:p>
        </w:tc>
      </w:tr>
    </w:tbl>
    <w:p>
      <w:pPr>
        <w:spacing w:after="0"/>
      </w:pPr>
    </w:p>
    <w:p>
      <w:r>
        <w:t xml:space="preserve">(3) </w:t>
      </w:r>
      <w:r>
        <w:rPr>
          <w:rStyle w:val="Satznummer"/>
        </w:rPr>
        <w:t>1</w:t>
      </w:r>
      <w:r>
        <w:t xml:space="preserve">Jedes Aufsichtsratsmitglied hat das Recht, von den Vorlagen und Prüfungsberichten Kenntnis zu nehmen. </w:t>
      </w:r>
      <w:r>
        <w:rPr>
          <w:rStyle w:val="Satznummer"/>
        </w:rPr>
        <w:t>2</w:t>
      </w:r>
      <w:r>
        <w:t>Die Vorlagen und Prüfungsberichte sind auch jedem Aufsichtsratsmitglied oder, soweit der Aufsichtsrat dies beschlossen hat, den Mitgliedern eines Ausschusses zu übermitteln.</w:t>
      </w:r>
    </w:p>
    <w:p>
      <w:pPr>
        <w:pStyle w:val="Heading5"/>
      </w:pPr>
      <w:bookmarkStart w:id="212" w:name="b211"/>
      <w:r>
        <w:t>§ 171 Prüfung durch den Aufsichtsrat</w:t>
      </w:r>
      <w:r>
        <w:t xml:space="preserve"> </w:t>
      </w:r>
      <w:r>
        <w:rPr>
          <w:rStyle w:val="Suchmarke"/>
        </w:rPr>
        <w:t>#171#</w:t>
      </w:r>
      <w:bookmarkEnd w:id="212"/>
    </w:p>
    <w:p>
      <w:r>
        <w:t xml:space="preserve">(1) </w:t>
      </w:r>
      <w:r>
        <w:rPr>
          <w:rStyle w:val="Satznummer"/>
        </w:rPr>
        <w:t>1</w:t>
      </w:r>
      <w:r>
        <w:t xml:space="preserve">Der Aufsichtsrat hat den Jahresabschluß, den Lagebericht und den Vorschlag für die Verwendung des Bilanzgewinns zu prüfen, bei Mutterunternehmen (§ 290 Abs. 1, 2 des Handelsgesetzbuchs) auch den Konzernabschluß und den Konzernlagebericht. </w:t>
      </w:r>
      <w:r>
        <w:rPr>
          <w:rStyle w:val="Satznummer"/>
        </w:rPr>
        <w:t>2</w:t>
      </w:r>
      <w:r>
        <w:t xml:space="preserve">Ist der Jahresabschluss oder der Konzernabschluss durch einen Abschlussprüfer zu prüfen, so hat dieser an den Verhandlungen des Aufsichtsrats oder des Prüfungsausschusses über diese Vorlagen teilzunehmen und über die wesentlichen Ergebnisse seiner Prüfung, insbesondere wesentliche Schwächen des internen Kontroll- und des Risikomanagementsystems bezogen auf den Rechnungslegungsprozess, zu berichten. </w:t>
      </w:r>
      <w:r>
        <w:rPr>
          <w:rStyle w:val="Satznummer"/>
        </w:rPr>
        <w:t>3</w:t>
      </w:r>
      <w:r>
        <w:t xml:space="preserve">Er informiert über Umstände, die seine Befangenheit besorgen lassen und über Leistungen, die er zusätzlich zu den Abschlussprüfungsleistungen erbracht hat. </w:t>
      </w:r>
      <w:r>
        <w:rPr>
          <w:rStyle w:val="Satznummer"/>
        </w:rPr>
        <w:t>4</w:t>
      </w:r>
      <w:r>
        <w:t>Der Aufsichtsrat hat auch den gesonderten nichtfinanziellen Bericht (§ 289b des Handelsgesetzbuchs), den gesonderten nichtfinanziellen Konzernbericht (§ 315b des Handelsgesetzbuchs), den Ertragsteuerinformationsbericht (§§ 342b, 342c, 342d Absatz 2 Nummer 2 des Handelsgesetzbuchs) und die Erklärung nach § 342d Absatz 2 Nummer 1 des Handelsgesetzbuchs zu prüfen, sofern sie erstellt wurden.</w:t>
      </w:r>
    </w:p>
    <w:p>
      <w:r>
        <w:t xml:space="preserve">(2) </w:t>
      </w:r>
      <w:r>
        <w:rPr>
          <w:rStyle w:val="Satznummer"/>
        </w:rPr>
        <w:t>1</w:t>
      </w:r>
      <w:r>
        <w:t xml:space="preserve">Der Aufsichtsrat hat über das Ergebnis der Prüfung schriftlich an die Hauptversammlung zu berichten. </w:t>
      </w:r>
      <w:r>
        <w:rPr>
          <w:rStyle w:val="Satznummer"/>
        </w:rPr>
        <w:t>2</w:t>
      </w:r>
      <w:r>
        <w:t xml:space="preserve">In dem Bericht hat der Aufsichtsrat auch mitzuteilen, in welcher Art und in welchem Umfang er die Geschäftsführung der Gesellschaft während des Geschäftsjahrs geprüft hat; bei börsennotierten Gesellschaften hat er insbesondere anzugeben, welche Ausschüsse gebildet worden sind, sowie die Zahl seiner Sitzungen und die der Ausschüsse mitzuteilen. </w:t>
      </w:r>
      <w:r>
        <w:rPr>
          <w:rStyle w:val="Satznummer"/>
        </w:rPr>
        <w:t>3</w:t>
      </w:r>
      <w:r>
        <w:t xml:space="preserve">Ist der Jahresabschluß durch einen Abschlußprüfer zu prüfen, so hat der Aufsichtsrat ferner zu dem Ergebnis der Prüfung des Jahresabschlusses durch den Abschlußprüfer Stellung zu nehmen. </w:t>
      </w:r>
      <w:r>
        <w:rPr>
          <w:rStyle w:val="Satznummer"/>
        </w:rPr>
        <w:t>4</w:t>
      </w:r>
      <w:r>
        <w:t xml:space="preserve">Am Schluß des Berichts hat der Aufsichtsrat zu erklären, ob nach dem abschließenden Ergebnis seiner Prüfung Einwendungen zu erheben sind und ob er den vom Vorstand aufgestellten Jahresabschluß billigt. </w:t>
      </w:r>
      <w:r>
        <w:rPr>
          <w:rStyle w:val="Satznummer"/>
        </w:rPr>
        <w:t>5</w:t>
      </w:r>
      <w:r>
        <w:t>Bei Mutterunternehmen (§ 290 Abs. 1, 2 des Handelsgesetzbuchs) finden die Sätze 3 und 4 entsprechende Anwendung auf den Konzernabschluss.</w:t>
      </w:r>
    </w:p>
    <w:p>
      <w:r>
        <w:t xml:space="preserve">(3) </w:t>
      </w:r>
      <w:r>
        <w:rPr>
          <w:rStyle w:val="Satznummer"/>
        </w:rPr>
        <w:t>1</w:t>
      </w:r>
      <w:r>
        <w:t xml:space="preserve">Der Aufsichtsrat hat seinen Bericht innerhalb eines Monats, nachdem ihm die Vorlagen zugegangen sind, dem Vorstand zuzuleiten. </w:t>
      </w:r>
      <w:r>
        <w:rPr>
          <w:rStyle w:val="Satznummer"/>
        </w:rPr>
        <w:t>2</w:t>
      </w:r>
      <w:r>
        <w:t xml:space="preserve">Wird der Bericht dem Vorstand nicht innerhalb der Frist zugeleitet, hat der Vorstand dem Aufsichtsrat unverzüglich eine weitere Frist von nicht mehr als einem Monat zu setzen. </w:t>
      </w:r>
      <w:r>
        <w:rPr>
          <w:rStyle w:val="Satznummer"/>
        </w:rPr>
        <w:t>3</w:t>
      </w:r>
      <w:r>
        <w:t>Wird der Bericht dem Vorstand nicht vor Ablauf der weiteren Frist zugeleitet, gilt der Jahresabschluß als vom Aufsichtsrat nicht gebilligt; bei Mutterunternehmen (§ 290 Abs. 1, 2 des Handelsgesetzbuchs) gilt das Gleiche hinsichtlich des Konzernabschlusses.</w:t>
      </w:r>
    </w:p>
    <w:p>
      <w:r>
        <w:t xml:space="preserve">(4) </w:t>
      </w:r>
      <w:r>
        <w:rPr>
          <w:rStyle w:val="Satznummer"/>
        </w:rPr>
        <w:t>1</w:t>
      </w:r>
      <w:r>
        <w:t xml:space="preserve">Die Absätze 1 bis 3 gelten auch hinsichtlich eines Einzelabschlusses nach § 325 Abs. 2a des Handelsgesetzbuchs. </w:t>
      </w:r>
      <w:r>
        <w:rPr>
          <w:rStyle w:val="Satznummer"/>
        </w:rPr>
        <w:t>2</w:t>
      </w:r>
      <w:r>
        <w:t>Der Vorstand darf den in Satz 1 genannten Abschluss erst nach dessen Billigung durch den Aufsichtsrat offen legen.</w:t>
      </w:r>
    </w:p>
    <w:p>
      <w:pPr>
        <w:pStyle w:val="Heading3"/>
      </w:pPr>
      <w:bookmarkStart w:id="213" w:name="b212"/>
      <w:r>
        <w:t>Dritter Abschnitt Feststellung des Jahresabschlusses. Gewinnverwendung</w:t>
      </w:r>
      <w:bookmarkEnd w:id="213"/>
    </w:p>
    <w:p>
      <w:pPr>
        <w:pStyle w:val="Heading4"/>
      </w:pPr>
      <w:bookmarkStart w:id="214" w:name="b213"/>
      <w:r>
        <w:t>Erster Unterabschnitt Feststellung des Jahresabschlusses</w:t>
      </w:r>
      <w:bookmarkEnd w:id="214"/>
    </w:p>
    <w:p>
      <w:pPr>
        <w:pStyle w:val="Heading5"/>
      </w:pPr>
      <w:bookmarkStart w:id="215" w:name="b214"/>
      <w:r>
        <w:t>§ 172 Feststellung durch Vorstand und Aufsichtsrat</w:t>
      </w:r>
      <w:r>
        <w:t xml:space="preserve"> </w:t>
      </w:r>
      <w:r>
        <w:rPr>
          <w:rStyle w:val="Suchmarke"/>
        </w:rPr>
        <w:t>#172#</w:t>
      </w:r>
      <w:bookmarkEnd w:id="215"/>
    </w:p>
    <w:p>
      <w:r>
        <w:rPr>
          <w:rStyle w:val="Satznummer"/>
        </w:rPr>
        <w:t>1</w:t>
      </w:r>
      <w:r>
        <w:t xml:space="preserve">Billigt der Aufsichtsrat den Jahresabschluß, so ist dieser festgestellt, sofern nicht Vorstand und Aufsichtsrat beschließen, die Feststellung des Jahresabschlusses der Hauptversammlung zu überlassen. </w:t>
      </w:r>
      <w:r>
        <w:rPr>
          <w:rStyle w:val="Satznummer"/>
        </w:rPr>
        <w:t>2</w:t>
      </w:r>
      <w:r>
        <w:t>Die Beschlüsse des Vorstands und des Aufsichtsrats sind in den Bericht des Aufsichtsrats an die Hauptversammlung aufzunehmen.</w:t>
      </w:r>
    </w:p>
    <w:p>
      <w:pPr>
        <w:pStyle w:val="Heading5"/>
      </w:pPr>
      <w:bookmarkStart w:id="216" w:name="b215"/>
      <w:r>
        <w:t>§ 173 Feststellung durch die Hauptversammlung</w:t>
      </w:r>
      <w:r>
        <w:t xml:space="preserve"> </w:t>
      </w:r>
      <w:r>
        <w:rPr>
          <w:rStyle w:val="Suchmarke"/>
        </w:rPr>
        <w:t>#173#</w:t>
      </w:r>
      <w:bookmarkEnd w:id="216"/>
    </w:p>
    <w:p>
      <w:r>
        <w:t xml:space="preserve">(1) </w:t>
      </w:r>
      <w:r>
        <w:rPr>
          <w:rStyle w:val="Satznummer"/>
        </w:rPr>
        <w:t>1</w:t>
      </w:r>
      <w:r>
        <w:t xml:space="preserve">Haben Vorstand und Aufsichtsrat beschlossen, die Feststellung des Jahresabschlusses der Hauptversammlung zu überlassen, oder hat der Aufsichtsrat den Jahresabschluß nicht gebilligt, so stellt die Hauptversammlung den Jahresabschluß fest. </w:t>
      </w:r>
      <w:r>
        <w:rPr>
          <w:rStyle w:val="Satznummer"/>
        </w:rPr>
        <w:t>2</w:t>
      </w:r>
      <w:r>
        <w:t>Hat der Aufsichtsrat eines Mutterunternehmens (§ 290 Abs. 1, 2 des Handelsgesetzbuchs) den Konzernabschluss nicht gebilligt, so entscheidet die Hauptversammlung über die Billigung.</w:t>
      </w:r>
    </w:p>
    <w:p>
      <w:r>
        <w:t xml:space="preserve">(2) </w:t>
      </w:r>
      <w:r>
        <w:rPr>
          <w:rStyle w:val="Satznummer"/>
        </w:rPr>
        <w:t>1</w:t>
      </w:r>
      <w:r>
        <w:t xml:space="preserve">Auf den Jahresabschluß sind bei der Feststellung die für seine Aufstellung geltenden Vorschriften anzuwenden. </w:t>
      </w:r>
      <w:r>
        <w:rPr>
          <w:rStyle w:val="Satznummer"/>
        </w:rPr>
        <w:t>2</w:t>
      </w:r>
      <w:r>
        <w:t>Die Hauptversammlung darf bei der Feststellung des Jahresabschlusses nur die Beträge in Gewinnrücklagen einstellen, die nach Gesetz oder Satzung einzustellen sind.</w:t>
      </w:r>
    </w:p>
    <w:p>
      <w:r>
        <w:t xml:space="preserve">(3) </w:t>
      </w:r>
      <w:r>
        <w:rPr>
          <w:rStyle w:val="Satznummer"/>
        </w:rPr>
        <w:t>1</w:t>
      </w:r>
      <w:r>
        <w:t xml:space="preserve">Ändert die Hauptversammlung einen von einem Abschlußprüfer auf Grund gesetzlicher Verpflichtung geprüften Jahresabschluß, so werden vor der erneuten Prüfung nach § 316 Abs. 3 des Handelsgesetzbuchs von der Hauptversammlung gefaßte Beschlüsse über die Feststellung des Jahresabschlusses und die Gewinnverwendung erst wirksam, wenn auf Grund der erneuten Prüfung ein hinsichtlich der Änderungen uneingeschränkter Bestätigungsvermerk erteilt worden ist. </w:t>
      </w:r>
      <w:r>
        <w:rPr>
          <w:rStyle w:val="Satznummer"/>
        </w:rPr>
        <w:t>2</w:t>
      </w:r>
      <w:r>
        <w:t>Sie werden nichtig, wenn nicht binnen zwei Wochen seit der Beschlußfassung ein hinsichtlich der Änderungen uneingeschränkter Bestätigungsvermerk erteilt wird.</w:t>
      </w:r>
    </w:p>
    <w:p>
      <w:pPr>
        <w:pStyle w:val="Heading4"/>
      </w:pPr>
      <w:bookmarkStart w:id="217" w:name="b216"/>
      <w:r>
        <w:t>Zweiter Unterabschnitt Gewinnverwendung</w:t>
      </w:r>
      <w:bookmarkEnd w:id="217"/>
    </w:p>
    <w:p>
      <w:pPr>
        <w:pStyle w:val="Heading5"/>
      </w:pPr>
      <w:bookmarkStart w:id="218" w:name="b217"/>
      <w:r>
        <w:t>§ 174</w:t>
      </w:r>
      <w:r>
        <w:t xml:space="preserve"> </w:t>
      </w:r>
      <w:r>
        <w:rPr>
          <w:rStyle w:val="Suchmarke"/>
        </w:rPr>
        <w:t>#174#</w:t>
      </w:r>
      <w:bookmarkEnd w:id="218"/>
    </w:p>
    <w:p>
      <w:r>
        <w:t xml:space="preserve">(1) </w:t>
      </w:r>
      <w:r>
        <w:rPr>
          <w:rStyle w:val="Satznummer"/>
        </w:rPr>
        <w:t>1</w:t>
      </w:r>
      <w:r>
        <w:t xml:space="preserve">Die Hauptversammlung beschließt über die Verwendung des Bilanzgewinns. </w:t>
      </w:r>
      <w:r>
        <w:rPr>
          <w:rStyle w:val="Satznummer"/>
        </w:rPr>
        <w:t>2</w:t>
      </w:r>
      <w:r>
        <w:t>Sie ist hierbei an den festgestellten Jahresabschluß gebunden.</w:t>
      </w:r>
    </w:p>
    <w:p>
      <w:r>
        <w:t>(2) In dem Beschluß ist die Verwendung des Bilanzgewinns im einzelnen darzulegen, namentlich sind anzugeben</w:t>
      </w:r>
    </w:p>
    <w:p>
      <w:pPr>
        <w:tabs>
          <w:tab w:pos="567" w:val="left"/>
        </w:tabs>
        <w:ind w:left="567" w:hanging="567"/>
      </w:pPr>
      <w:r>
        <w:t>1.</w:t>
      </w:r>
      <w:r>
        <w:tab/>
      </w:r>
      <w:r>
        <w:t>der Bilanzgewinn;</w:t>
      </w:r>
    </w:p>
    <w:p>
      <w:pPr>
        <w:tabs>
          <w:tab w:pos="567" w:val="left"/>
        </w:tabs>
        <w:ind w:left="567" w:hanging="567"/>
      </w:pPr>
      <w:r>
        <w:t>2.</w:t>
      </w:r>
      <w:r>
        <w:tab/>
      </w:r>
      <w:r>
        <w:t>der an die Aktionäre auszuschüttende Betrag oder Sachwert;</w:t>
      </w:r>
    </w:p>
    <w:p>
      <w:pPr>
        <w:tabs>
          <w:tab w:pos="567" w:val="left"/>
        </w:tabs>
        <w:ind w:left="567" w:hanging="567"/>
      </w:pPr>
      <w:r>
        <w:t>3.</w:t>
      </w:r>
      <w:r>
        <w:tab/>
      </w:r>
      <w:r>
        <w:t>die in Gewinnrücklagen einzustellenden Beträge;</w:t>
      </w:r>
    </w:p>
    <w:p>
      <w:pPr>
        <w:tabs>
          <w:tab w:pos="567" w:val="left"/>
        </w:tabs>
        <w:ind w:left="567" w:hanging="567"/>
      </w:pPr>
      <w:r>
        <w:t>4.</w:t>
      </w:r>
      <w:r>
        <w:tab/>
      </w:r>
      <w:r>
        <w:t>ein Gewinnvortrag;</w:t>
      </w:r>
    </w:p>
    <w:p>
      <w:pPr>
        <w:tabs>
          <w:tab w:pos="567" w:val="left"/>
        </w:tabs>
        <w:ind w:left="567" w:hanging="567"/>
      </w:pPr>
      <w:r>
        <w:t>5.</w:t>
      </w:r>
      <w:r>
        <w:tab/>
      </w:r>
      <w:r>
        <w:t>der zusätzliche Aufwand auf Grund des Beschlusses.</w:t>
      </w:r>
    </w:p>
    <w:p>
      <w:r>
        <w:t>(3) Der Beschluß führt nicht zu einer Änderung des festgestellten Jahresabschlusses.</w:t>
      </w:r>
    </w:p>
    <w:p>
      <w:pPr>
        <w:pStyle w:val="Heading4"/>
      </w:pPr>
      <w:bookmarkStart w:id="219" w:name="b218"/>
      <w:r>
        <w:t>Dritter Unterabschnitt Ordentliche Hauptversammlung</w:t>
      </w:r>
      <w:bookmarkEnd w:id="219"/>
    </w:p>
    <w:p>
      <w:pPr>
        <w:pStyle w:val="Heading5"/>
      </w:pPr>
      <w:bookmarkStart w:id="220" w:name="b219"/>
      <w:r>
        <w:t>§ 175 Einberufung</w:t>
      </w:r>
      <w:r>
        <w:t xml:space="preserve"> </w:t>
      </w:r>
      <w:r>
        <w:rPr>
          <w:rStyle w:val="Suchmarke"/>
        </w:rPr>
        <w:t>#175#</w:t>
      </w:r>
      <w:bookmarkEnd w:id="220"/>
    </w:p>
    <w:p>
      <w:r>
        <w:t xml:space="preserve">(1) </w:t>
      </w:r>
      <w:r>
        <w:rPr>
          <w:rStyle w:val="Satznummer"/>
        </w:rPr>
        <w:t>1</w:t>
      </w:r>
      <w:r>
        <w:t xml:space="preserve">Unverzüglich nach Eingang des Berichts des Aufsichtsrats hat der Vorstand die Hauptversammlung zur Entgegennahme des festgestellten Jahresabschlusses und des Lageberichts, eines vom Aufsichtsrat gebilligten Einzelabschlusses nach § 325 Abs. 2a des Handelsgesetzbuchs sowie zur Beschlußfassung über die Verwendung eines Bilanzgewinns, bei einem Mutterunternehmen (§ 290 Abs. 1, 2 des Handelsgesetzbuchs) auch zur Entgegennahme des vom Aufsichtsrat gebilligten Konzernabschlusses und des Konzernlageberichts, einzuberufen. </w:t>
      </w:r>
      <w:r>
        <w:rPr>
          <w:rStyle w:val="Satznummer"/>
        </w:rPr>
        <w:t>2</w:t>
      </w:r>
      <w:r>
        <w:t>Die Hauptversammlung hat in den ersten acht Monaten des Geschäftsjahrs stattzufinden.</w:t>
      </w:r>
    </w:p>
    <w:p>
      <w:r>
        <w:t xml:space="preserve">(2) </w:t>
      </w:r>
      <w:r>
        <w:rPr>
          <w:rStyle w:val="Satznummer"/>
        </w:rPr>
        <w:t>1</w:t>
      </w:r>
      <w:r>
        <w:t xml:space="preserve">Der Jahresabschluss, ein vom Aufsichtsrat gebilligter Einzelabschluss nach § 325 Absatz 2a des Handelsgesetzbuchs, der Lagebericht, der Bericht des Aufsichtsrats und der Vorschlag des Vorstands für die Verwendung des Bilanzgewinns sind von der Einberufung an in dem Geschäftsraum der Gesellschaft zur Einsicht durch die Aktionäre auszulegen. </w:t>
      </w:r>
      <w:r>
        <w:rPr>
          <w:rStyle w:val="Satznummer"/>
        </w:rPr>
        <w:t>2</w:t>
      </w:r>
      <w:r>
        <w:t xml:space="preserve">Auf Verlangen ist jedem Aktionär unverzüglich eine Abschrift der Vorlagen zu erteilen. </w:t>
      </w:r>
      <w:r>
        <w:rPr>
          <w:rStyle w:val="Satznummer"/>
        </w:rPr>
        <w:t>3</w:t>
      </w:r>
      <w:r>
        <w:t xml:space="preserve">Bei einem Mutterunternehmen (§ 290 Abs. 1, 2 des Handelsgesetzbuchs) gelten die Sätze 1 und 2 auch für den Konzernabschluss, den Konzernlagebericht und den Bericht des Aufsichtsrats hierüber. </w:t>
      </w:r>
      <w:r>
        <w:rPr>
          <w:rStyle w:val="Satznummer"/>
        </w:rPr>
        <w:t>4</w:t>
      </w:r>
      <w:r>
        <w:t>Die Verpflichtungen nach den Sätzen 1 bis 3 entfallen, wenn die dort bezeichneten Dokumente für denselben Zeitraum über die Internetseite der Gesellschaft zugänglich sind.</w:t>
      </w:r>
    </w:p>
    <w:p>
      <w:r>
        <w:t xml:space="preserve">(3) </w:t>
      </w:r>
      <w:r>
        <w:rPr>
          <w:rStyle w:val="Satznummer"/>
        </w:rPr>
        <w:t>1</w:t>
      </w:r>
      <w:r>
        <w:t xml:space="preserve">Hat die Hauptversammlung den Jahresabschluss festzustellen oder hat sie über die Billigung des Konzernabschlusses zu entscheiden, so gelten für die Einberufung der Hauptversammlung zur Feststellung des Jahresabschlusses oder zur Billigung des Konzernabschlusses und für das Zugänglichmachen der Vorlagen und die Erteilung von Abschriften die Absätze 1 und 2 sinngemäß. </w:t>
      </w:r>
      <w:r>
        <w:rPr>
          <w:rStyle w:val="Satznummer"/>
        </w:rPr>
        <w:t>2</w:t>
      </w:r>
      <w:r>
        <w:t>Die Verhandlungen über die Feststellung des Jahresabschlusses und über die Verwendung des Bilanzgewinns sollen verbunden werden.</w:t>
      </w:r>
    </w:p>
    <w:p>
      <w:r>
        <w:t xml:space="preserve">(4) </w:t>
      </w:r>
      <w:r>
        <w:rPr>
          <w:rStyle w:val="Satznummer"/>
        </w:rPr>
        <w:t>1</w:t>
      </w:r>
      <w:r>
        <w:t>Mit der Einberufung der Hauptversammlung zur Entgegennahme des festgestellten Jahresabschlusses oder, wenn die Hauptversammlung den Jahresabschluß festzustellen hat, der Hauptversammlung zur Feststellung des Jahresabschlusses sind Vorstand und Aufsichtsrat an die in dem Bericht des Aufsichtsrats enthaltenen Erklärungen über den Jahresabschluß (</w:t>
      </w:r>
      <w:hyperlink w:anchor="b214" w:history="1">
        <w:r>
          <w:rPr>
            <w:color w:val="0A3A8C"/>
            <w:u w:val="single"/>
          </w:rPr>
          <w:t xml:space="preserve">§§ 172</w:t>
        </w:r>
      </w:hyperlink>
      <w:r>
        <w:t xml:space="preserve">, </w:t>
      </w:r>
      <w:hyperlink w:anchor="b215" w:history="1">
        <w:r>
          <w:rPr>
            <w:color w:val="0A3A8C"/>
            <w:u w:val="single"/>
          </w:rPr>
          <w:t xml:space="preserve">173</w:t>
        </w:r>
      </w:hyperlink>
      <w:r>
        <w:t xml:space="preserve"> Abs. 1) gebunden. </w:t>
      </w:r>
      <w:r>
        <w:rPr>
          <w:rStyle w:val="Satznummer"/>
        </w:rPr>
        <w:t>2</w:t>
      </w:r>
      <w:r>
        <w:t>Bei einem Mutterunternehmen (§ 290 Abs. 1, 2 des Handelsgesetzbuchs) gilt Satz 1 für die Erklärung des Aufsichtsrats über die Billigung des Konzernabschlusses entsprechend.</w:t>
      </w:r>
    </w:p>
    <w:p>
      <w:pPr>
        <w:pStyle w:val="Heading5"/>
      </w:pPr>
      <w:bookmarkStart w:id="221" w:name="b220"/>
      <w:r>
        <w:t>§ 176 Vorlagen. Anwesenheit des Abschlußprüfers</w:t>
      </w:r>
      <w:r>
        <w:t xml:space="preserve"> </w:t>
      </w:r>
      <w:r>
        <w:rPr>
          <w:rStyle w:val="Suchmarke"/>
        </w:rPr>
        <w:t>#176#</w:t>
      </w:r>
      <w:bookmarkEnd w:id="221"/>
    </w:p>
    <w:p>
      <w:r>
        <w:t xml:space="preserve">(1) </w:t>
      </w:r>
      <w:r>
        <w:rPr>
          <w:rStyle w:val="Satznummer"/>
        </w:rPr>
        <w:t>1</w:t>
      </w:r>
      <w:r>
        <w:t xml:space="preserve">Der Vorstand hat der Hauptversammlung die in </w:t>
      </w:r>
      <w:hyperlink w:anchor="b219" w:history="1">
        <w:r>
          <w:rPr>
            <w:color w:val="0A3A8C"/>
            <w:u w:val="single"/>
          </w:rPr>
          <w:t xml:space="preserve">§ 175</w:t>
        </w:r>
      </w:hyperlink>
      <w:r>
        <w:t xml:space="preserve"> Abs. 2 genannten Vorlagen sowie bei börsennotierten Gesellschaften einen erläuternden Bericht zu den Angaben nach den §§ 289a und 315a des Handelsgesetzbuchs zugänglich zu machen. </w:t>
      </w:r>
      <w:r>
        <w:rPr>
          <w:rStyle w:val="Satznummer"/>
        </w:rPr>
        <w:t>2</w:t>
      </w:r>
      <w:r>
        <w:t xml:space="preserve">Zu Beginn der Verhandlung soll der Vorstand seine Vorlagen, der Vorsitzende des Aufsichtsrats den Bericht des Aufsichtsrats erläutern. </w:t>
      </w:r>
      <w:r>
        <w:rPr>
          <w:rStyle w:val="Satznummer"/>
        </w:rPr>
        <w:t>3</w:t>
      </w:r>
      <w:r>
        <w:t xml:space="preserve">Der Vorstand soll dabei auch zu einem Jahresfehlbetrag oder einem Verlust Stellung nehmen, der das Jahresergebnis wesentlich beeinträchtigt hat. </w:t>
      </w:r>
      <w:r>
        <w:rPr>
          <w:rStyle w:val="Satznummer"/>
        </w:rPr>
        <w:t>4</w:t>
      </w:r>
      <w:r>
        <w:t>Satz 3 ist auf Kreditinstitute oder Wertpapierinstitute nicht anzuwenden.</w:t>
      </w:r>
    </w:p>
    <w:p>
      <w:r>
        <w:t xml:space="preserve">(2) </w:t>
      </w:r>
      <w:r>
        <w:rPr>
          <w:rStyle w:val="Satznummer"/>
        </w:rPr>
        <w:t>1</w:t>
      </w:r>
      <w:r>
        <w:t xml:space="preserve">Ist der Jahresabschluß von einem Abschlußprüfer zu prüfen, so hat der Abschlußprüfer an den Verhandlungen über die Feststellung des Jahresabschlusses teilzunehmen. </w:t>
      </w:r>
      <w:r>
        <w:rPr>
          <w:rStyle w:val="Satznummer"/>
        </w:rPr>
        <w:t>2</w:t>
      </w:r>
      <w:r>
        <w:t xml:space="preserve">Satz 1 gilt entsprechend für die Verhandlungen über die Billigung eines Konzernabschlusses. </w:t>
      </w:r>
      <w:r>
        <w:rPr>
          <w:rStyle w:val="Satznummer"/>
        </w:rPr>
        <w:t>3</w:t>
      </w:r>
      <w:r>
        <w:t>Der Abschlußprüfer ist nicht verpflichtet, einem Aktionär Auskunft zu erteilen.</w:t>
      </w:r>
    </w:p>
    <w:p>
      <w:pPr>
        <w:pStyle w:val="Heading3"/>
      </w:pPr>
      <w:bookmarkStart w:id="222" w:name="b221"/>
      <w:r>
        <w:t>Vierter Abschnitt Bekanntmachung des Jahresabschlusses</w:t>
      </w:r>
      <w:bookmarkEnd w:id="222"/>
    </w:p>
    <w:p>
      <w:pPr>
        <w:pStyle w:val="Heading4"/>
      </w:pPr>
      <w:bookmarkStart w:id="223" w:name="b222"/>
      <w:r>
        <w:t>§ 177</w:t>
      </w:r>
      <w:r>
        <w:t xml:space="preserve"> </w:t>
      </w:r>
      <w:r>
        <w:rPr>
          <w:rStyle w:val="Suchmarke"/>
        </w:rPr>
        <w:t>#177#</w:t>
      </w:r>
      <w:bookmarkEnd w:id="223"/>
    </w:p>
    <w:p>
      <w:r>
        <w:t>-</w:t>
      </w:r>
    </w:p>
    <w:p>
      <w:pPr>
        <w:pStyle w:val="Heading4"/>
      </w:pPr>
      <w:bookmarkStart w:id="224" w:name="b223"/>
      <w:r>
        <w:t>§ 178</w:t>
      </w:r>
      <w:r>
        <w:t xml:space="preserve"> </w:t>
      </w:r>
      <w:r>
        <w:rPr>
          <w:rStyle w:val="Suchmarke"/>
        </w:rPr>
        <w:t>#178#</w:t>
      </w:r>
      <w:bookmarkEnd w:id="224"/>
    </w:p>
    <w:p>
      <w:r>
        <w:t>-</w:t>
      </w:r>
    </w:p>
    <w:p>
      <w:pPr>
        <w:pStyle w:val="Heading2"/>
      </w:pPr>
      <w:bookmarkStart w:id="225" w:name="b224"/>
      <w:r>
        <w:t>Sechster Teil Satzungsänderung. Maßnahmen der Kapitalbeschaffung und Kapitalherabsetzung</w:t>
      </w:r>
      <w:bookmarkEnd w:id="225"/>
    </w:p>
    <w:p>
      <w:pPr>
        <w:pStyle w:val="Heading3"/>
      </w:pPr>
      <w:bookmarkStart w:id="226" w:name="b225"/>
      <w:r>
        <w:t>Erster Abschnitt Satzungsänderung</w:t>
      </w:r>
      <w:bookmarkEnd w:id="226"/>
    </w:p>
    <w:p>
      <w:pPr>
        <w:pStyle w:val="Heading4"/>
      </w:pPr>
      <w:bookmarkStart w:id="227" w:name="b226"/>
      <w:r>
        <w:t>§ 179 Beschluß der Hauptversammlung</w:t>
      </w:r>
      <w:r>
        <w:t xml:space="preserve"> </w:t>
      </w:r>
      <w:r>
        <w:rPr>
          <w:rStyle w:val="Suchmarke"/>
        </w:rPr>
        <w:t>#179#</w:t>
      </w:r>
      <w:bookmarkEnd w:id="227"/>
    </w:p>
    <w:p>
      <w:r>
        <w:t xml:space="preserve">(1) </w:t>
      </w:r>
      <w:r>
        <w:rPr>
          <w:rStyle w:val="Satznummer"/>
        </w:rPr>
        <w:t>1</w:t>
      </w:r>
      <w:r>
        <w:t xml:space="preserve">Jede Satzungsänderung bedarf eines Beschlusses der Hauptversammlung. </w:t>
      </w:r>
      <w:r>
        <w:rPr>
          <w:rStyle w:val="Satznummer"/>
        </w:rPr>
        <w:t>2</w:t>
      </w:r>
      <w:r>
        <w:t>Die Befugnis zu Änderungen, die nur die Fassung betreffen, kann die Hauptversammlung dem Aufsichtsrat übertragen.</w:t>
      </w:r>
    </w:p>
    <w:p>
      <w:r>
        <w:t xml:space="preserve">(2) </w:t>
      </w:r>
      <w:r>
        <w:rPr>
          <w:rStyle w:val="Satznummer"/>
        </w:rPr>
        <w:t>1</w:t>
      </w:r>
      <w:r>
        <w:t xml:space="preserve">Der Beschluß der Hauptversammlung bedarf einer Mehrheit, die mindestens drei Viertel des bei der Beschlußfassung vertretenen Grundkapitals umfaßt. </w:t>
      </w:r>
      <w:r>
        <w:rPr>
          <w:rStyle w:val="Satznummer"/>
        </w:rPr>
        <w:t>2</w:t>
      </w:r>
      <w:r>
        <w:t xml:space="preserve">Die Satzung kann eine andere Kapitalmehrheit, für eine Änderung des Gegenstands des Unternehmens jedoch nur eine größere Kapitalmehrheit bestimmen. </w:t>
      </w:r>
      <w:r>
        <w:rPr>
          <w:rStyle w:val="Satznummer"/>
        </w:rPr>
        <w:t>3</w:t>
      </w:r>
      <w:r>
        <w:t>Sie kann weitere Erfordernisse aufstellen.</w:t>
      </w:r>
    </w:p>
    <w:p>
      <w:r>
        <w:t xml:space="preserve">(3) </w:t>
      </w:r>
      <w:r>
        <w:rPr>
          <w:rStyle w:val="Satznummer"/>
        </w:rPr>
        <w:t>1</w:t>
      </w:r>
      <w:r>
        <w:t xml:space="preserve">Soll das bisherige Verhältnis mehrerer Gattungen von Aktien zum Nachteil einer Gattung geändert werden, so bedarf der Beschluß der Hauptversammlung zu seiner Wirksamkeit der Zustimmung der benachteiligten Aktionäre. </w:t>
      </w:r>
      <w:r>
        <w:rPr>
          <w:rStyle w:val="Satznummer"/>
        </w:rPr>
        <w:t>2</w:t>
      </w:r>
      <w:r>
        <w:t xml:space="preserve">Über die Zustimmung haben die benachteiligten Aktionäre einen Sonderbeschluß zu fassen. </w:t>
      </w:r>
      <w:r>
        <w:rPr>
          <w:rStyle w:val="Satznummer"/>
        </w:rPr>
        <w:t>3</w:t>
      </w:r>
      <w:r>
        <w:t>Für diesen gilt Absatz 2.</w:t>
      </w:r>
    </w:p>
    <w:p>
      <w:pPr>
        <w:pStyle w:val="Heading4"/>
      </w:pPr>
      <w:bookmarkStart w:id="228" w:name="b227"/>
      <w:r>
        <w:t>§ 179a Verpflichtung zur Übertragung des ganzen Gesellschaftsvermögens</w:t>
      </w:r>
      <w:r>
        <w:t xml:space="preserve"> </w:t>
      </w:r>
      <w:r>
        <w:rPr>
          <w:rStyle w:val="Suchmarke"/>
        </w:rPr>
        <w:t>#179a#</w:t>
      </w:r>
      <w:bookmarkEnd w:id="228"/>
    </w:p>
    <w:p>
      <w:r>
        <w:t xml:space="preserve">(1) </w:t>
      </w:r>
      <w:r>
        <w:rPr>
          <w:rStyle w:val="Satznummer"/>
        </w:rPr>
        <w:t>1</w:t>
      </w:r>
      <w:r>
        <w:t xml:space="preserve">Ein Vertrag, durch den sich eine Aktiengesellschaft zur Übertragung des ganzen Gesellschaftsvermögens verpflichtet, ohne daß die Übertragung unter die Vorschriften des Umwandlungsgesetzes fällt, bedarf auch dann eines Beschlusses der Hauptversammlung nach </w:t>
      </w:r>
      <w:hyperlink w:anchor="b226" w:history="1">
        <w:r>
          <w:rPr>
            <w:color w:val="0A3A8C"/>
            <w:u w:val="single"/>
          </w:rPr>
          <w:t xml:space="preserve">§ 179</w:t>
        </w:r>
      </w:hyperlink>
      <w:r>
        <w:t xml:space="preserve">, wenn damit nicht eine Änderung des Unternehmensgegenstandes verbunden ist. </w:t>
      </w:r>
      <w:r>
        <w:rPr>
          <w:rStyle w:val="Satznummer"/>
        </w:rPr>
        <w:t>2</w:t>
      </w:r>
      <w:r>
        <w:t>Die Satzung kann nur eine größere Kapitalmehrheit bestimmen.</w:t>
      </w:r>
    </w:p>
    <w:p>
      <w:r>
        <w:t xml:space="preserve">(2) </w:t>
      </w:r>
      <w:r>
        <w:rPr>
          <w:rStyle w:val="Satznummer"/>
        </w:rPr>
        <w:t>1</w:t>
      </w:r>
      <w:r>
        <w:t xml:space="preserve">Der Vertrag ist von der Einberufung der Hauptversammlung an, die über die Zustimmung beschließen soll, in dem Geschäftsraum der Gesellschaft zur Einsicht der Aktionäre auszulegen. </w:t>
      </w:r>
      <w:r>
        <w:rPr>
          <w:rStyle w:val="Satznummer"/>
        </w:rPr>
        <w:t>2</w:t>
      </w:r>
      <w:r>
        <w:t xml:space="preserve">Auf Verlangen ist jedem Aktionär unverzüglich eine Abschrift zu erteilen. </w:t>
      </w:r>
      <w:r>
        <w:rPr>
          <w:rStyle w:val="Satznummer"/>
        </w:rPr>
        <w:t>3</w:t>
      </w:r>
      <w:r>
        <w:t xml:space="preserve">Die Verpflichtungen nach den Sätzen 1 und 2 entfallen, wenn der Vertrag für denselben Zeitraum über die Internetseite der Gesellschaft zugänglich ist. </w:t>
      </w:r>
      <w:r>
        <w:rPr>
          <w:rStyle w:val="Satznummer"/>
        </w:rPr>
        <w:t>4</w:t>
      </w:r>
      <w:r>
        <w:t xml:space="preserve">In der Hauptversammlung ist der Vertrag zugänglich zu machen. </w:t>
      </w:r>
      <w:r>
        <w:rPr>
          <w:rStyle w:val="Satznummer"/>
        </w:rPr>
        <w:t>5</w:t>
      </w:r>
      <w:r>
        <w:t xml:space="preserve">Der Vorstand hat ihn zu Beginn der Verhandlung zu erläutern. </w:t>
      </w:r>
      <w:r>
        <w:rPr>
          <w:rStyle w:val="Satznummer"/>
        </w:rPr>
        <w:t>6</w:t>
      </w:r>
      <w:r>
        <w:t>Der Niederschrift ist er als Anlage beizufügen.</w:t>
      </w:r>
    </w:p>
    <w:p>
      <w:r>
        <w:t>(3) Wird aus Anlaß der Übertragung des Gesellschaftsvermögens die Gesellschaft aufgelöst, so ist der Anmeldung der Auflösung der Vertrag in Ausfertigung oder öffentlich beglaubigter Abschrift beizufügen.</w:t>
      </w:r>
    </w:p>
    <w:p>
      <w:pPr>
        <w:pStyle w:val="Heading4"/>
      </w:pPr>
      <w:bookmarkStart w:id="229" w:name="b228"/>
      <w:r>
        <w:t>§ 180 Zustimmung der betroffenen Aktionäre</w:t>
      </w:r>
      <w:r>
        <w:t xml:space="preserve"> </w:t>
      </w:r>
      <w:r>
        <w:rPr>
          <w:rStyle w:val="Suchmarke"/>
        </w:rPr>
        <w:t>#180#</w:t>
      </w:r>
      <w:bookmarkEnd w:id="229"/>
    </w:p>
    <w:p>
      <w:r>
        <w:t>(1) Ein Beschluß, der Aktionären Nebenverpflichtungen auferlegt, bedarf zu seiner Wirksamkeit der Zustimmung aller betroffenen Aktionäre.</w:t>
      </w:r>
    </w:p>
    <w:p>
      <w:r>
        <w:t>(2) Gleiches gilt für einen Beschluß, durch den die Übertragung von Namensaktien oder Zwischenscheinen an die Zustimmung der Gesellschaft gebunden wird.</w:t>
      </w:r>
    </w:p>
    <w:p>
      <w:pPr>
        <w:pStyle w:val="Heading4"/>
      </w:pPr>
      <w:bookmarkStart w:id="230" w:name="b229"/>
      <w:r>
        <w:t>§ 181 Eintragung der Satzungsänderung</w:t>
      </w:r>
      <w:r>
        <w:t xml:space="preserve"> </w:t>
      </w:r>
      <w:r>
        <w:rPr>
          <w:rStyle w:val="Suchmarke"/>
        </w:rPr>
        <w:t>#181#</w:t>
      </w:r>
      <w:bookmarkEnd w:id="230"/>
    </w:p>
    <w:p>
      <w:r>
        <w:t xml:space="preserve">(1) </w:t>
      </w:r>
      <w:r>
        <w:rPr>
          <w:rStyle w:val="Satznummer"/>
        </w:rPr>
        <w:t>1</w:t>
      </w:r>
      <w:r>
        <w:t xml:space="preserve">Der Vorstand hat die Satzungsänderung zur Eintragung in das Handelsregister anzumelden. </w:t>
      </w:r>
      <w:r>
        <w:rPr>
          <w:rStyle w:val="Satznummer"/>
        </w:rPr>
        <w:t>2</w:t>
      </w:r>
      <w:r>
        <w:t>Der Anmeldung ist der vollständige Wortlaut der Satzung beizufügen; er muß mit der Bescheinigung eines Notars versehen sein, daß die geänderten Bestimmungen der Satzung mit dem Beschluß über die Satzungsänderung und die unveränderten Bestimmungen mit dem zuletzt zum Handelsregister eingereichten vollständigen Wortlaut der Satzung übereinstimmen.</w:t>
      </w:r>
    </w:p>
    <w:p>
      <w:r>
        <w:t xml:space="preserve">(2) Soweit nicht die Änderung Angaben nach </w:t>
      </w:r>
      <w:hyperlink w:anchor="b45" w:history="1">
        <w:r>
          <w:rPr>
            <w:color w:val="0A3A8C"/>
            <w:u w:val="single"/>
          </w:rPr>
          <w:t xml:space="preserve">§ 39</w:t>
        </w:r>
      </w:hyperlink>
      <w:r>
        <w:t xml:space="preserve"> betrifft, genügt bei der Eintragung die Bezugnahme auf die beim Gericht eingereichten Urkunden.</w:t>
      </w:r>
    </w:p>
    <w:p>
      <w:r>
        <w:t>(3) Die Änderung wird erst wirksam, wenn sie in das Handelsregister des Sitzes der Gesellschaft eingetragen worden ist.</w:t>
      </w:r>
    </w:p>
    <w:p>
      <w:pPr>
        <w:pStyle w:val="Heading3"/>
      </w:pPr>
      <w:bookmarkStart w:id="231" w:name="b230"/>
      <w:r>
        <w:t>Zweiter Abschnitt Maßnahmen der Kapitalbeschaffung</w:t>
      </w:r>
      <w:bookmarkEnd w:id="231"/>
    </w:p>
    <w:p>
      <w:pPr>
        <w:pStyle w:val="Heading4"/>
      </w:pPr>
      <w:bookmarkStart w:id="232" w:name="b231"/>
      <w:r>
        <w:t>Erster Unterabschnitt Kapitalerhöhung gegen Einlagen</w:t>
      </w:r>
      <w:bookmarkEnd w:id="232"/>
    </w:p>
    <w:p>
      <w:pPr>
        <w:pStyle w:val="Heading5"/>
      </w:pPr>
      <w:bookmarkStart w:id="233" w:name="b232"/>
      <w:r>
        <w:t>§ 182 Voraussetzungen</w:t>
      </w:r>
      <w:r>
        <w:t xml:space="preserve"> </w:t>
      </w:r>
      <w:r>
        <w:rPr>
          <w:rStyle w:val="Suchmarke"/>
        </w:rPr>
        <w:t>#182#</w:t>
      </w:r>
      <w:bookmarkEnd w:id="233"/>
    </w:p>
    <w:p>
      <w:r>
        <w:t xml:space="preserve">(1) </w:t>
      </w:r>
      <w:r>
        <w:rPr>
          <w:rStyle w:val="Satznummer"/>
        </w:rPr>
        <w:t>1</w:t>
      </w:r>
      <w:r>
        <w:t xml:space="preserve">Eine Erhöhung des Grundkapitals gegen Einlagen kann nur mit einer Mehrheit beschlossen werden, die mindestens drei Viertel des bei der Beschlußfassung vertretenen Grundkapitals umfaßt. </w:t>
      </w:r>
      <w:r>
        <w:rPr>
          <w:rStyle w:val="Satznummer"/>
        </w:rPr>
        <w:t>2</w:t>
      </w:r>
      <w:r>
        <w:t xml:space="preserve">Die Satzung kann eine andere Kapitalmehrheit, für die Ausgabe von Vorzugsaktien ohne Stimmrecht jedoch nur eine größere Kapitalmehrheit bestimmen. </w:t>
      </w:r>
      <w:r>
        <w:rPr>
          <w:rStyle w:val="Satznummer"/>
        </w:rPr>
        <w:t>3</w:t>
      </w:r>
      <w:r>
        <w:t xml:space="preserve">Sie kann weitere Erfordernisse aufstellen. </w:t>
      </w:r>
      <w:r>
        <w:rPr>
          <w:rStyle w:val="Satznummer"/>
        </w:rPr>
        <w:t>4</w:t>
      </w:r>
      <w:r>
        <w:t xml:space="preserve">Die Kapitalerhöhung kann nur durch Ausgabe neuer Aktien ausgeführt werden. </w:t>
      </w:r>
      <w:r>
        <w:rPr>
          <w:rStyle w:val="Satznummer"/>
        </w:rPr>
        <w:t>5</w:t>
      </w:r>
      <w:r>
        <w:t>Bei Gesellschaften mit Stückaktien muß sich die Zahl der Aktien in demselben Verhältnis wie das Grundkapital erhöhen.</w:t>
      </w:r>
    </w:p>
    <w:p>
      <w:r>
        <w:t xml:space="preserve">(2) </w:t>
      </w:r>
      <w:r>
        <w:rPr>
          <w:rStyle w:val="Satznummer"/>
        </w:rPr>
        <w:t>1</w:t>
      </w:r>
      <w:r>
        <w:t xml:space="preserve">Sind mehrere Gattungen von stimmberechtigten Aktien vorhanden, so bedarf der Beschluß der Hauptversammlung zu seiner Wirksamkeit der Zustimmung der Aktionäre jeder Gattung. </w:t>
      </w:r>
      <w:r>
        <w:rPr>
          <w:rStyle w:val="Satznummer"/>
        </w:rPr>
        <w:t>2</w:t>
      </w:r>
      <w:r>
        <w:t xml:space="preserve">Über die Zustimmung haben die Aktionäre jeder Gattung einen Sonderbeschluß zu fassen. </w:t>
      </w:r>
      <w:r>
        <w:rPr>
          <w:rStyle w:val="Satznummer"/>
        </w:rPr>
        <w:t>3</w:t>
      </w:r>
      <w:r>
        <w:t>Für diesen gilt Absatz 1.</w:t>
      </w:r>
    </w:p>
    <w:p>
      <w:r>
        <w:t>(3) Sollen die neuen Aktien für einen höheren Betrag als den geringsten Ausgabebetrag ausgegeben werden, so ist der Mindestbetrag, unter dem sie nicht ausgegeben werden sollen, im Beschluß über die Erhöhung des Grundkapitals festzusetzen.</w:t>
      </w:r>
    </w:p>
    <w:p>
      <w:r>
        <w:t xml:space="preserve">(4) </w:t>
      </w:r>
      <w:r>
        <w:rPr>
          <w:rStyle w:val="Satznummer"/>
        </w:rPr>
        <w:t>1</w:t>
      </w:r>
      <w:r>
        <w:t xml:space="preserve">Das Grundkapital soll nicht erhöht werden, solange ausstehende Einlagen auf das bisherige Grundkapital noch erlangt werden können. </w:t>
      </w:r>
      <w:r>
        <w:rPr>
          <w:rStyle w:val="Satznummer"/>
        </w:rPr>
        <w:t>2</w:t>
      </w:r>
      <w:r>
        <w:t xml:space="preserve">Für Versicherungsgesellschaften kann die Satzung etwas anderes bestimmen. </w:t>
      </w:r>
      <w:r>
        <w:rPr>
          <w:rStyle w:val="Satznummer"/>
        </w:rPr>
        <w:t>3</w:t>
      </w:r>
      <w:r>
        <w:t>Stehen Einlagen in verhältnismäßig unerheblichem Umfang aus, so hindert dies die Erhöhung des Grundkapitals nicht.</w:t>
      </w:r>
    </w:p>
    <w:p>
      <w:pPr>
        <w:pStyle w:val="Heading5"/>
      </w:pPr>
      <w:bookmarkStart w:id="234" w:name="b233"/>
      <w:r>
        <w:t>§ 183 Kapitalerhöhung mit Sacheinlagen; Rückzahlung von Einlagen</w:t>
      </w:r>
      <w:r>
        <w:t xml:space="preserve"> </w:t>
      </w:r>
      <w:r>
        <w:rPr>
          <w:rStyle w:val="Suchmarke"/>
        </w:rPr>
        <w:t>#183#</w:t>
      </w:r>
      <w:bookmarkEnd w:id="234"/>
    </w:p>
    <w:p>
      <w:r>
        <w:t xml:space="preserve">(1) </w:t>
      </w:r>
      <w:r>
        <w:rPr>
          <w:rStyle w:val="Satznummer"/>
        </w:rPr>
        <w:t>1</w:t>
      </w:r>
      <w:r>
        <w:t>Wird eine Sacheinlage (</w:t>
      </w:r>
      <w:hyperlink w:anchor="b30" w:history="1">
        <w:r>
          <w:rPr>
            <w:color w:val="0A3A8C"/>
            <w:u w:val="single"/>
          </w:rPr>
          <w:t xml:space="preserve">§ 27</w:t>
        </w:r>
      </w:hyperlink>
      <w:r>
        <w:t xml:space="preserve"> Abs. 1 und 2) gemacht, so müssen ihr Gegenstand, die Person, von der die Gesellschaft den Gegenstand erwirbt, und der Nennbetrag, bei Stückaktien die Zahl der bei der Sacheinlage zu gewährenden Aktien im Beschluß über die Erhöhung des Grundkapitals festgesetzt werden. </w:t>
      </w:r>
      <w:r>
        <w:rPr>
          <w:rStyle w:val="Satznummer"/>
        </w:rPr>
        <w:t>2</w:t>
      </w:r>
      <w:r>
        <w:t>Der Beschluß darf nur gefaßt werden, wenn die Einbringung von Sacheinlagen und die Festsetzungen nach Satz 1 ausdrücklich und ordnungsgemäß bekanntgemacht worden sind.</w:t>
      </w:r>
    </w:p>
    <w:p>
      <w:r>
        <w:t xml:space="preserve">(2) </w:t>
      </w:r>
      <w:hyperlink w:anchor="b30" w:history="1">
        <w:r>
          <w:rPr>
            <w:color w:val="0A3A8C"/>
            <w:u w:val="single"/>
          </w:rPr>
          <w:t xml:space="preserve">§ 27</w:t>
        </w:r>
      </w:hyperlink>
      <w:r>
        <w:t xml:space="preserve"> Abs. 3 und 4 gilt entsprechend.</w:t>
      </w:r>
    </w:p>
    <w:p>
      <w:r>
        <w:t xml:space="preserve">(3) </w:t>
      </w:r>
      <w:r>
        <w:rPr>
          <w:rStyle w:val="Satznummer"/>
        </w:rPr>
        <w:t>1</w:t>
      </w:r>
      <w:r>
        <w:t xml:space="preserve">Bei der Kapitalerhöhung mit Sacheinlagen hat eine Prüfung durch einen oder mehrere Prüfer stattzufinden. </w:t>
      </w:r>
      <w:r>
        <w:rPr>
          <w:rStyle w:val="Satznummer"/>
        </w:rPr>
        <w:t>2</w:t>
      </w:r>
      <w:hyperlink w:anchor="b36" w:history="1">
        <w:r>
          <w:rPr>
            <w:color w:val="0A3A8C"/>
            <w:u w:val="single"/>
          </w:rPr>
          <w:t xml:space="preserve">§ 33</w:t>
        </w:r>
      </w:hyperlink>
      <w:r>
        <w:t xml:space="preserve"> Abs. 3 bis 5, die </w:t>
      </w:r>
      <w:hyperlink w:anchor="b38" w:history="1">
        <w:r>
          <w:rPr>
            <w:color w:val="0A3A8C"/>
            <w:u w:val="single"/>
          </w:rPr>
          <w:t xml:space="preserve">§§ 34</w:t>
        </w:r>
      </w:hyperlink>
      <w:r>
        <w:t xml:space="preserve">, </w:t>
      </w:r>
      <w:hyperlink w:anchor="b39" w:history="1">
        <w:r>
          <w:rPr>
            <w:color w:val="0A3A8C"/>
            <w:u w:val="single"/>
          </w:rPr>
          <w:t xml:space="preserve">35</w:t>
        </w:r>
      </w:hyperlink>
      <w:r>
        <w:t xml:space="preserve"> gelten sinngemäß.</w:t>
      </w:r>
    </w:p>
    <w:p>
      <w:pPr>
        <w:pStyle w:val="Heading5"/>
      </w:pPr>
      <w:bookmarkStart w:id="235" w:name="b234"/>
      <w:r>
        <w:t>§ 183a Kapitalerhöhung mit Sacheinlagen ohne Prüfung</w:t>
      </w:r>
      <w:r>
        <w:t xml:space="preserve"> </w:t>
      </w:r>
      <w:r>
        <w:rPr>
          <w:rStyle w:val="Suchmarke"/>
        </w:rPr>
        <w:t>#183a#</w:t>
      </w:r>
      <w:bookmarkEnd w:id="235"/>
    </w:p>
    <w:p>
      <w:r>
        <w:t xml:space="preserve">(1) </w:t>
      </w:r>
      <w:r>
        <w:rPr>
          <w:rStyle w:val="Satznummer"/>
        </w:rPr>
        <w:t>1</w:t>
      </w:r>
      <w:r>
        <w:t>Von einer Prüfung der Sacheinlage (</w:t>
      </w:r>
      <w:hyperlink w:anchor="b233" w:history="1">
        <w:r>
          <w:rPr>
            <w:color w:val="0A3A8C"/>
            <w:u w:val="single"/>
          </w:rPr>
          <w:t xml:space="preserve">§ 183</w:t>
        </w:r>
      </w:hyperlink>
      <w:r>
        <w:t xml:space="preserve"> Abs. 3) kann unter den Voraussetzungen des </w:t>
      </w:r>
      <w:hyperlink w:anchor="b37" w:history="1">
        <w:r>
          <w:rPr>
            <w:color w:val="0A3A8C"/>
            <w:u w:val="single"/>
          </w:rPr>
          <w:t xml:space="preserve">§ 33a</w:t>
        </w:r>
      </w:hyperlink>
      <w:r>
        <w:t xml:space="preserve"> abgesehen werden. </w:t>
      </w:r>
      <w:r>
        <w:rPr>
          <w:rStyle w:val="Satznummer"/>
        </w:rPr>
        <w:t>2</w:t>
      </w:r>
      <w:r>
        <w:t>Wird hiervon Gebrauch gemacht, so gelten die folgenden Absätze.</w:t>
      </w:r>
    </w:p>
    <w:p>
      <w:r>
        <w:t xml:space="preserve">(2) </w:t>
      </w:r>
      <w:r>
        <w:rPr>
          <w:rStyle w:val="Satznummer"/>
        </w:rPr>
        <w:t>1</w:t>
      </w:r>
      <w:r>
        <w:t xml:space="preserve">Der Vorstand hat das Datum des Beschlusses über die Kapitalerhöhung sowie die Angaben nach § 37a Abs. 1 und 2 in den Gesellschaftsblättern bekannt zu machen. </w:t>
      </w:r>
      <w:r>
        <w:rPr>
          <w:rStyle w:val="Satznummer"/>
        </w:rPr>
        <w:t>2</w:t>
      </w:r>
      <w:r>
        <w:t>Die Durchführung der Erhöhung des Grundkapitals darf nicht in das Handelsregister eingetragen werden vor Ablauf von vier Wochen seit der Bekanntmachung.</w:t>
      </w:r>
    </w:p>
    <w:p>
      <w:r>
        <w:t xml:space="preserve">(3) </w:t>
      </w:r>
      <w:r>
        <w:rPr>
          <w:rStyle w:val="Satznummer"/>
        </w:rPr>
        <w:t>1</w:t>
      </w:r>
      <w:r>
        <w:t xml:space="preserve">Liegen die Voraussetzungen des </w:t>
      </w:r>
      <w:hyperlink w:anchor="b37" w:history="1">
        <w:r>
          <w:rPr>
            <w:color w:val="0A3A8C"/>
            <w:u w:val="single"/>
          </w:rPr>
          <w:t xml:space="preserve">§ 33a</w:t>
        </w:r>
      </w:hyperlink>
      <w:r>
        <w:t xml:space="preserve"> Abs. 2 vor, hat das Amtsgericht auf Antrag von Aktionären, die am Tag der Beschlussfassung über die Kapitalerhöhung gemeinsam fünf vom Hundert des Grundkapitals hielten und am Tag der Antragstellung noch halten, einen oder mehrere Prüfer zu bestellen. </w:t>
      </w:r>
      <w:r>
        <w:rPr>
          <w:rStyle w:val="Satznummer"/>
        </w:rPr>
        <w:t>2</w:t>
      </w:r>
      <w:r>
        <w:t>Der Antrag kann bis zum Tag der Eintragung der Durchführung der Erhöhung des Grundkapitals (</w:t>
      </w:r>
      <w:hyperlink w:anchor="b240" w:history="1">
        <w:r>
          <w:rPr>
            <w:color w:val="0A3A8C"/>
            <w:u w:val="single"/>
          </w:rPr>
          <w:t xml:space="preserve">§ 189</w:t>
        </w:r>
      </w:hyperlink>
      <w:r>
        <w:t xml:space="preserve">) gestellt werden. </w:t>
      </w:r>
      <w:r>
        <w:rPr>
          <w:rStyle w:val="Satznummer"/>
        </w:rPr>
        <w:t>3</w:t>
      </w:r>
      <w:r>
        <w:t xml:space="preserve">Das Gericht hat vor der Entscheidung über den Antrag den Vorstand zu hören. </w:t>
      </w:r>
      <w:r>
        <w:rPr>
          <w:rStyle w:val="Satznummer"/>
        </w:rPr>
        <w:t>4</w:t>
      </w:r>
      <w:r>
        <w:t>Gegen die Entscheidung ist die Beschwerde gegeben.</w:t>
      </w:r>
    </w:p>
    <w:p>
      <w:r>
        <w:t xml:space="preserve">(4) Für das weitere Verfahren gelten </w:t>
      </w:r>
      <w:hyperlink w:anchor="b36" w:history="1">
        <w:r>
          <w:rPr>
            <w:color w:val="0A3A8C"/>
            <w:u w:val="single"/>
          </w:rPr>
          <w:t xml:space="preserve">§ 33</w:t>
        </w:r>
      </w:hyperlink>
      <w:r>
        <w:t xml:space="preserve"> Abs. 4 und 5, die </w:t>
      </w:r>
      <w:hyperlink w:anchor="b38" w:history="1">
        <w:r>
          <w:rPr>
            <w:color w:val="0A3A8C"/>
            <w:u w:val="single"/>
          </w:rPr>
          <w:t xml:space="preserve">§§ 34</w:t>
        </w:r>
      </w:hyperlink>
      <w:r>
        <w:t xml:space="preserve">, </w:t>
      </w:r>
      <w:hyperlink w:anchor="b39" w:history="1">
        <w:r>
          <w:rPr>
            <w:color w:val="0A3A8C"/>
            <w:u w:val="single"/>
          </w:rPr>
          <w:t xml:space="preserve">35</w:t>
        </w:r>
      </w:hyperlink>
      <w:r>
        <w:t xml:space="preserve"> entsprechend.</w:t>
      </w:r>
    </w:p>
    <w:p>
      <w:pPr>
        <w:pStyle w:val="Heading5"/>
      </w:pPr>
      <w:bookmarkStart w:id="236" w:name="b235"/>
      <w:r>
        <w:t>§ 184 Anmeldung des Beschlusses</w:t>
      </w:r>
      <w:r>
        <w:t xml:space="preserve"> </w:t>
      </w:r>
      <w:r>
        <w:rPr>
          <w:rStyle w:val="Suchmarke"/>
        </w:rPr>
        <w:t>#184#</w:t>
      </w:r>
      <w:bookmarkEnd w:id="236"/>
    </w:p>
    <w:p>
      <w:r>
        <w:t xml:space="preserve">(1) </w:t>
      </w:r>
      <w:r>
        <w:rPr>
          <w:rStyle w:val="Satznummer"/>
        </w:rPr>
        <w:t>1</w:t>
      </w:r>
      <w:r>
        <w:t xml:space="preserve">Der Vorstand und der Vorsitzende des Aufsichtsrats haben den Beschluss über die Erhöhung des Grundkapitals zur Eintragung in das Handelsregister anzumelden. </w:t>
      </w:r>
      <w:r>
        <w:rPr>
          <w:rStyle w:val="Satznummer"/>
        </w:rPr>
        <w:t>2</w:t>
      </w:r>
      <w:r>
        <w:t xml:space="preserve">In der Anmeldung ist anzugeben, welche Einlagen auf das bisherige Grundkapital noch nicht geleistet sind und warum sie nicht erlangt werden können. </w:t>
      </w:r>
      <w:r>
        <w:rPr>
          <w:rStyle w:val="Satznummer"/>
        </w:rPr>
        <w:t>3</w:t>
      </w:r>
      <w:r>
        <w:t>Soll von einer Prüfung der Sacheinlage abgesehen werden und ist das Datum des Beschlusses der Kapitalerhöhung vorab bekannt gemacht worden (</w:t>
      </w:r>
      <w:hyperlink w:anchor="b234" w:history="1">
        <w:r>
          <w:rPr>
            <w:color w:val="0A3A8C"/>
            <w:u w:val="single"/>
          </w:rPr>
          <w:t xml:space="preserve">§ 183a</w:t>
        </w:r>
      </w:hyperlink>
      <w:r>
        <w:t xml:space="preserve"> Abs. 2), müssen die Anmeldenden in der Anmeldung nur noch versichern, dass ihnen seit der Bekanntmachung keine Umstände im Sinne von </w:t>
      </w:r>
      <w:hyperlink w:anchor="b43" w:history="1">
        <w:r>
          <w:rPr>
            <w:color w:val="0A3A8C"/>
            <w:u w:val="single"/>
          </w:rPr>
          <w:t xml:space="preserve">§ 37a</w:t>
        </w:r>
      </w:hyperlink>
      <w:r>
        <w:t xml:space="preserve"> Abs. 2 bekannt geworden sind.</w:t>
      </w:r>
    </w:p>
    <w:p>
      <w:r>
        <w:t>(2) Der Anmeldung sind der Bericht über die Prüfung von Sacheinlagen (</w:t>
      </w:r>
      <w:hyperlink w:anchor="b233" w:history="1">
        <w:r>
          <w:rPr>
            <w:color w:val="0A3A8C"/>
            <w:u w:val="single"/>
          </w:rPr>
          <w:t xml:space="preserve">§ 183</w:t>
        </w:r>
      </w:hyperlink>
      <w:r>
        <w:t xml:space="preserve"> Abs. 3) oder die in </w:t>
      </w:r>
      <w:hyperlink w:anchor="b43" w:history="1">
        <w:r>
          <w:rPr>
            <w:color w:val="0A3A8C"/>
            <w:u w:val="single"/>
          </w:rPr>
          <w:t xml:space="preserve">§ 37a</w:t>
        </w:r>
      </w:hyperlink>
      <w:r>
        <w:t xml:space="preserve"> Abs. 3 bezeichneten Anlagen beizufügen.</w:t>
      </w:r>
    </w:p>
    <w:p>
      <w:r>
        <w:t xml:space="preserve">(3) </w:t>
      </w:r>
      <w:r>
        <w:rPr>
          <w:rStyle w:val="Satznummer"/>
        </w:rPr>
        <w:t>1</w:t>
      </w:r>
      <w:r>
        <w:t xml:space="preserve">Das Gericht kann die Eintragung ablehnen, wenn der Wert der Sacheinlage nicht unwesentlich hinter dem geringsten Ausgabebetrag der dafür zu gewährenden Aktien zurückbleibt. </w:t>
      </w:r>
      <w:r>
        <w:rPr>
          <w:rStyle w:val="Satznummer"/>
        </w:rPr>
        <w:t>2</w:t>
      </w:r>
      <w:r>
        <w:t xml:space="preserve">Wird von einer Prüfung der Sacheinlage nach </w:t>
      </w:r>
      <w:hyperlink w:anchor="b234" w:history="1">
        <w:r>
          <w:rPr>
            <w:color w:val="0A3A8C"/>
            <w:u w:val="single"/>
          </w:rPr>
          <w:t xml:space="preserve">§ 183a</w:t>
        </w:r>
      </w:hyperlink>
      <w:r>
        <w:t xml:space="preserve"> Abs. 1 abgesehen, gilt </w:t>
      </w:r>
      <w:hyperlink w:anchor="b44" w:history="1">
        <w:r>
          <w:rPr>
            <w:color w:val="0A3A8C"/>
            <w:u w:val="single"/>
          </w:rPr>
          <w:t xml:space="preserve">§ 38</w:t>
        </w:r>
      </w:hyperlink>
      <w:r>
        <w:t xml:space="preserve"> Abs. 3 entsprechend.</w:t>
      </w:r>
    </w:p>
    <w:p>
      <w:pPr>
        <w:pStyle w:val="Heading5"/>
      </w:pPr>
      <w:bookmarkStart w:id="237" w:name="b236"/>
      <w:r>
        <w:t>§ 185 Zeichnung der neuen Aktien</w:t>
      </w:r>
      <w:r>
        <w:t xml:space="preserve"> </w:t>
      </w:r>
      <w:r>
        <w:rPr>
          <w:rStyle w:val="Suchmarke"/>
        </w:rPr>
        <w:t>#185#</w:t>
      </w:r>
      <w:bookmarkEnd w:id="237"/>
    </w:p>
    <w:p>
      <w:r>
        <w:t xml:space="preserve">(1) </w:t>
      </w:r>
      <w:r>
        <w:rPr>
          <w:rStyle w:val="Satznummer"/>
        </w:rPr>
        <w:t>1</w:t>
      </w:r>
      <w:r>
        <w:t xml:space="preserve">Die Zeichnung der neuen Aktien geschieht durch schriftliche Erklärung (Zeichnungsschein), aus der die Beteiligung nach der Zahl und bei Nennbetragsaktien dem Nennbetrag und, wenn mehrere Gattungen ausgegeben werden, der Gattung der Aktien hervorgehen muß. </w:t>
      </w:r>
      <w:r>
        <w:rPr>
          <w:rStyle w:val="Satznummer"/>
        </w:rPr>
        <w:t>2</w:t>
      </w:r>
      <w:r>
        <w:t xml:space="preserve">Der Zeichnungsschein soll doppelt ausgestellt werden. </w:t>
      </w:r>
      <w:r>
        <w:rPr>
          <w:rStyle w:val="Satznummer"/>
        </w:rPr>
        <w:t>3</w:t>
      </w:r>
      <w:r>
        <w:t>Er hat zu enthalten</w:t>
      </w:r>
    </w:p>
    <w:p>
      <w:pPr>
        <w:tabs>
          <w:tab w:pos="567" w:val="left"/>
        </w:tabs>
        <w:ind w:left="567" w:hanging="567"/>
      </w:pPr>
      <w:r>
        <w:t>1.</w:t>
      </w:r>
      <w:r>
        <w:tab/>
      </w:r>
      <w:r>
        <w:t>den Tag, an dem die Erhöhung des Grundkapitals beschlossen worden ist;</w:t>
      </w:r>
    </w:p>
    <w:p>
      <w:pPr>
        <w:tabs>
          <w:tab w:pos="567" w:val="left"/>
        </w:tabs>
        <w:ind w:left="567" w:hanging="567"/>
      </w:pPr>
      <w:r>
        <w:t>2.</w:t>
      </w:r>
      <w:r>
        <w:tab/>
      </w:r>
      <w:r>
        <w:t>den Ausgabebetrag der Aktien, den Betrag der festgesetzten Einzahlungen sowie den Umfang von Nebenverpflichtungen;</w:t>
      </w:r>
    </w:p>
    <w:p>
      <w:pPr>
        <w:tabs>
          <w:tab w:pos="567" w:val="left"/>
        </w:tabs>
        <w:ind w:left="567" w:hanging="567"/>
      </w:pPr>
      <w:r>
        <w:t>3.</w:t>
      </w:r>
      <w:r>
        <w:tab/>
      </w:r>
      <w:r>
        <w:t>die bei einer Kapitalerhöhung mit Sacheinlagen vorgesehenen Festsetzungen und, wenn mehrere Gattungen ausgegeben werden, den auf jede Aktiengattung entfallenden Betrag des Grundkapitals,</w:t>
      </w:r>
    </w:p>
    <w:p>
      <w:pPr>
        <w:tabs>
          <w:tab w:pos="567" w:val="left"/>
        </w:tabs>
        <w:ind w:left="567" w:hanging="567"/>
      </w:pPr>
      <w:r>
        <w:t>4.</w:t>
      </w:r>
      <w:r>
        <w:tab/>
      </w:r>
      <w:r>
        <w:t>den Zeitpunkt, an dem die Zeichnung unverbindlich wird, wenn nicht bis dahin die Durchführung der Erhöhung des Grundkapitals eingetragen ist.</w:t>
      </w:r>
    </w:p>
    <w:p>
      <w:r>
        <w:t>(2) Zeichnungsscheine, die diese Angaben nicht vollständig oder die außer dem Vorbehalt in Absatz 1 Nr. 4 Beschränkungen der Verpflichtung des Zeichners enthalten, sind nichtig.</w:t>
      </w:r>
    </w:p>
    <w:p>
      <w:r>
        <w:t>(3) Ist die Durchführung der Erhöhung des Grundkapitals eingetragen, so kann sich der Zeichner auf die Nichtigkeit oder Unverbindlichkeit des Zeichnungsscheins nicht berufen, wenn er auf Grund des Zeichnungsscheins als Aktionär Rechte ausgeübt oder Verpflichtungen erfüllt hat.</w:t>
      </w:r>
    </w:p>
    <w:p>
      <w:r>
        <w:t>(4) Jede nicht im Zeichnungsschein enthaltene Beschränkung ist der Gesellschaft gegenüber unwirksam.</w:t>
      </w:r>
    </w:p>
    <w:p>
      <w:pPr>
        <w:pStyle w:val="Heading5"/>
      </w:pPr>
      <w:bookmarkStart w:id="238" w:name="b237"/>
      <w:r>
        <w:t>§ 186 Bezugsrecht</w:t>
      </w:r>
      <w:r>
        <w:t xml:space="preserve"> </w:t>
      </w:r>
      <w:r>
        <w:rPr>
          <w:rStyle w:val="Suchmarke"/>
        </w:rPr>
        <w:t>#186#</w:t>
      </w:r>
      <w:bookmarkEnd w:id="238"/>
    </w:p>
    <w:p>
      <w:r>
        <w:t xml:space="preserve">(1) </w:t>
      </w:r>
      <w:r>
        <w:rPr>
          <w:rStyle w:val="Satznummer"/>
        </w:rPr>
        <w:t>1</w:t>
      </w:r>
      <w:r>
        <w:t xml:space="preserve">Jedem Aktionär muß auf sein Verlangen ein seinem Anteil an dem bisherigen Grundkapital entsprechender Teil der neuen Aktien zugeteilt werden. </w:t>
      </w:r>
      <w:r>
        <w:rPr>
          <w:rStyle w:val="Satznummer"/>
        </w:rPr>
        <w:t>2</w:t>
      </w:r>
      <w:r>
        <w:t>Für die Ausübung des Bezugsrechts ist eine Frist von mindestens zwei Wochen zu bestimmen.</w:t>
      </w:r>
    </w:p>
    <w:p>
      <w:r>
        <w:t xml:space="preserve">(2) </w:t>
      </w:r>
      <w:r>
        <w:rPr>
          <w:rStyle w:val="Satznummer"/>
        </w:rPr>
        <w:t>1</w:t>
      </w:r>
      <w:r>
        <w:t xml:space="preserve">Der Vorstand hat den Ausgabebetrag oder die Grundlagen für seine Festlegung und zugleich eine Bezugsfrist gemäß Absatz 1 in den Gesellschaftsblättern bekannt zu machen und gemäß </w:t>
      </w:r>
      <w:hyperlink w:anchor="b75" w:history="1">
        <w:r>
          <w:rPr>
            <w:color w:val="0A3A8C"/>
            <w:u w:val="single"/>
          </w:rPr>
          <w:t xml:space="preserve">§ 67a</w:t>
        </w:r>
      </w:hyperlink>
      <w:r>
        <w:t xml:space="preserve"> zu übermitteln. </w:t>
      </w:r>
      <w:r>
        <w:rPr>
          <w:rStyle w:val="Satznummer"/>
        </w:rPr>
        <w:t>2</w:t>
      </w:r>
      <w:r>
        <w:t>Sind nur die Grundlagen der Festlegung angegeben, so hat er spätestens drei Tage vor Ablauf der Bezugsfrist den Ausgabebetrag in den Gesellschaftsblättern und über ein elektronisches Informationsmedium bekannt zu machen.</w:t>
      </w:r>
    </w:p>
    <w:p>
      <w:r>
        <w:t xml:space="preserve">(3) </w:t>
      </w:r>
      <w:r>
        <w:rPr>
          <w:rStyle w:val="Satznummer"/>
        </w:rPr>
        <w:t>1</w:t>
      </w:r>
      <w:r>
        <w:t xml:space="preserve">Das Bezugsrecht kann ganz oder zum Teil nur im Beschluß über die Erhöhung des Grundkapitals ausgeschlossen werden. </w:t>
      </w:r>
      <w:r>
        <w:rPr>
          <w:rStyle w:val="Satznummer"/>
        </w:rPr>
        <w:t>2</w:t>
      </w:r>
      <w:r>
        <w:t xml:space="preserve">In diesem Fall bedarf der Beschluß neben den in Gesetz oder Satzung für die Kapitalerhöhung aufgestellten Erfordernissen einer Mehrheit, die mindestens drei Viertel des bei der Beschlußfassung vertretenen Grundkapitals umfaßt. </w:t>
      </w:r>
      <w:r>
        <w:rPr>
          <w:rStyle w:val="Satznummer"/>
        </w:rPr>
        <w:t>3</w:t>
      </w:r>
      <w:r>
        <w:t xml:space="preserve">Die Satzung kann eine größere Kapitalmehrheit und weitere Erfordernisse bestimmen. </w:t>
      </w:r>
      <w:r>
        <w:rPr>
          <w:rStyle w:val="Satznummer"/>
        </w:rPr>
        <w:t>4</w:t>
      </w:r>
      <w:r>
        <w:t>Ein Ausschluß des Bezugsrechts ist insbesondere dann zulässig, wenn die Kapitalerhöhung gegen Bareinlagen zwanzig vom Hundert des Grundkapitals nicht übersteigt und der Ausgabebetrag den Börsenpreis nicht wesentlich unterschreitet.</w:t>
      </w:r>
    </w:p>
    <w:p>
      <w:r>
        <w:t xml:space="preserve">(4) </w:t>
      </w:r>
      <w:r>
        <w:rPr>
          <w:rStyle w:val="Satznummer"/>
        </w:rPr>
        <w:t>1</w:t>
      </w:r>
      <w:r>
        <w:t xml:space="preserve">Ein Beschluß, durch den das Bezugsrecht ganz oder zum Teil ausgeschlossen wird, darf nur gefaßt werden, wenn die Ausschließung ausdrücklich und ordnungsgemäß bekanntgemacht worden ist. </w:t>
      </w:r>
      <w:r>
        <w:rPr>
          <w:rStyle w:val="Satznummer"/>
        </w:rPr>
        <w:t>2</w:t>
      </w:r>
      <w:r>
        <w:t>Der Vorstand hat der Hauptversammlung einen schriftlichen Bericht über den Grund für den teilweisen oder vollständigen Ausschluß des Bezugsrechts zugänglich zu machen; in dem Bericht ist der vorgeschlagene Ausgabebetrag zu begründen.</w:t>
      </w:r>
    </w:p>
    <w:p>
      <w:r>
        <w:t xml:space="preserve">(5) </w:t>
      </w:r>
      <w:r>
        <w:rPr>
          <w:rStyle w:val="Satznummer"/>
        </w:rPr>
        <w:t>1</w:t>
      </w:r>
      <w:r>
        <w:t xml:space="preserve">Als Ausschluß des Bezugsrechts ist es nicht anzusehen, wenn nach dem Beschluß die neuen Aktien von einem Kreditinstitut, einem Wertpapierinstitut oder einem nach § 53 Abs. 1 Satz 1 oder § 53b Abs. 1 Satz 1 oder Abs. 7 des Gesetzes über das Kreditwesen tätigen Unternehmen mit der Verpflichtung übernommen werden sollen, sie den Aktionären zum Bezug anzubieten. </w:t>
      </w:r>
      <w:r>
        <w:rPr>
          <w:rStyle w:val="Satznummer"/>
        </w:rPr>
        <w:t>2</w:t>
      </w:r>
      <w:r>
        <w:t>Der Vorstand hat dieses Bezugsangebot mit den Angaben gemäß Absatz 2 Satz 1 und einen endgültigen Ausgabebetrag gemäß Absatz 2 Satz 2 bekannt zu machen; gleiches gilt, wenn die neuen Aktien von einem anderen als einem Kreditinstitut, Wertpapierinstitut oder Unternehmen im Sinne des Satzes 1 mit der Verpflichtung übernommen werden sollen, sie den Aktionären zum Bezug anzubieten.</w:t>
      </w:r>
    </w:p>
    <w:p>
      <w:pPr>
        <w:pStyle w:val="Heading5"/>
      </w:pPr>
      <w:bookmarkStart w:id="239" w:name="b238"/>
      <w:r>
        <w:t>§ 187 Zusicherung von Rechten auf den Bezug neuer Aktien</w:t>
      </w:r>
      <w:r>
        <w:t xml:space="preserve"> </w:t>
      </w:r>
      <w:r>
        <w:rPr>
          <w:rStyle w:val="Suchmarke"/>
        </w:rPr>
        <w:t>#187#</w:t>
      </w:r>
      <w:bookmarkEnd w:id="239"/>
    </w:p>
    <w:p>
      <w:r>
        <w:t>(1) Rechte auf den Bezug neuer Aktien können nur unter Vorbehalt des Bezugsrechts der Aktionäre zugesichert werden.</w:t>
      </w:r>
    </w:p>
    <w:p>
      <w:r>
        <w:t>(2) Zusicherungen vor dem Beschluß über die Erhöhung des Grundkapitals sind der Gesellschaft gegenüber unwirksam.</w:t>
      </w:r>
    </w:p>
    <w:p>
      <w:pPr>
        <w:pStyle w:val="Heading5"/>
      </w:pPr>
      <w:bookmarkStart w:id="240" w:name="b239"/>
      <w:r>
        <w:t>§ 188 Anmeldung und Eintragung der Durchführung</w:t>
      </w:r>
      <w:r>
        <w:t xml:space="preserve"> </w:t>
      </w:r>
      <w:r>
        <w:rPr>
          <w:rStyle w:val="Suchmarke"/>
        </w:rPr>
        <w:t>#188#</w:t>
      </w:r>
      <w:bookmarkEnd w:id="240"/>
    </w:p>
    <w:p>
      <w:r>
        <w:t>(1) Der Vorstand und der Vorsitzende des Aufsichtsrats haben die Durchführung der Erhöhung des Grundkapitals zur Eintragung in das Handelsregister anzumelden.</w:t>
      </w:r>
    </w:p>
    <w:p>
      <w:r>
        <w:t xml:space="preserve">(2) </w:t>
      </w:r>
      <w:r>
        <w:rPr>
          <w:rStyle w:val="Satznummer"/>
        </w:rPr>
        <w:t>1</w:t>
      </w:r>
      <w:r>
        <w:t xml:space="preserve">Für die Anmeldung gelten sinngemäß </w:t>
      </w:r>
      <w:hyperlink w:anchor="b40" w:history="1">
        <w:r>
          <w:rPr>
            <w:color w:val="0A3A8C"/>
            <w:u w:val="single"/>
          </w:rPr>
          <w:t xml:space="preserve">§ 36</w:t>
        </w:r>
      </w:hyperlink>
      <w:r>
        <w:t xml:space="preserve"> Abs. 2, </w:t>
      </w:r>
      <w:hyperlink w:anchor="b41" w:history="1">
        <w:r>
          <w:rPr>
            <w:color w:val="0A3A8C"/>
            <w:u w:val="single"/>
          </w:rPr>
          <w:t xml:space="preserve">§ 36a</w:t>
        </w:r>
      </w:hyperlink>
      <w:r>
        <w:t xml:space="preserve"> und </w:t>
      </w:r>
      <w:hyperlink w:anchor="b42" w:history="1">
        <w:r>
          <w:rPr>
            <w:color w:val="0A3A8C"/>
            <w:u w:val="single"/>
          </w:rPr>
          <w:t xml:space="preserve">§ 37</w:t>
        </w:r>
      </w:hyperlink>
      <w:r>
        <w:t xml:space="preserve"> Abs. 1. </w:t>
      </w:r>
      <w:r>
        <w:rPr>
          <w:rStyle w:val="Satznummer"/>
        </w:rPr>
        <w:t>2</w:t>
      </w:r>
      <w:r>
        <w:t>Durch Gutschrift auf ein Konto des Vorstands kann die Einzahlung nicht geleistet werden.</w:t>
      </w:r>
    </w:p>
    <w:p>
      <w:r>
        <w:t>(3) Der Anmeldung sind beizufügen</w:t>
      </w:r>
    </w:p>
    <w:p>
      <w:pPr>
        <w:tabs>
          <w:tab w:pos="567" w:val="left"/>
        </w:tabs>
        <w:ind w:left="567" w:hanging="567"/>
      </w:pPr>
      <w:r>
        <w:t>1.</w:t>
      </w:r>
      <w:r>
        <w:tab/>
      </w:r>
      <w:r>
        <w:t>die Zweitschriften der Zeichnungsscheine und ein vom Vorstand unterschriebenes Verzeichnis der Zeichner, das die auf jeden entfallenden Aktien und die auf sie geleisteten Einzahlungen angibt;</w:t>
      </w:r>
    </w:p>
    <w:p>
      <w:pPr>
        <w:tabs>
          <w:tab w:pos="567" w:val="left"/>
        </w:tabs>
        <w:ind w:left="567" w:hanging="567"/>
      </w:pPr>
      <w:r>
        <w:t>2.</w:t>
      </w:r>
      <w:r>
        <w:tab/>
      </w:r>
      <w:r>
        <w:t xml:space="preserve">bei einer Kapitalerhöhung mit Sacheinlagen die Verträge, die den Festsetzungen nach </w:t>
      </w:r>
      <w:hyperlink w:anchor="b233" w:history="1">
        <w:r>
          <w:rPr>
            <w:color w:val="0A3A8C"/>
            <w:u w:val="single"/>
          </w:rPr>
          <w:t xml:space="preserve">§ 183</w:t>
        </w:r>
      </w:hyperlink>
      <w:r>
        <w:t xml:space="preserve"> zugrunde liegen oder zu ihrer Ausführung geschlossen worden sind;</w:t>
      </w:r>
    </w:p>
    <w:p>
      <w:pPr>
        <w:tabs>
          <w:tab w:pos="567" w:val="left"/>
        </w:tabs>
        <w:ind w:left="567" w:hanging="567"/>
      </w:pPr>
      <w:r>
        <w:t>3.</w:t>
      </w:r>
      <w:r>
        <w:tab/>
      </w:r>
      <w:r>
        <w:t>eine Berechnung der Kosten, die für die Gesellschaft durch die Ausgabe der neuen Aktien entstehen werden.</w:t>
      </w:r>
    </w:p>
    <w:p>
      <w:pPr>
        <w:tabs>
          <w:tab w:pos="567" w:val="left"/>
        </w:tabs>
        <w:ind w:left="567" w:hanging="567"/>
      </w:pPr>
      <w:r>
        <w:t>4.</w:t>
      </w:r>
      <w:r>
        <w:tab/>
      </w:r>
      <w:r>
        <w:t>(weggefallen)</w:t>
      </w:r>
    </w:p>
    <w:p>
      <w:r>
        <w:t>(4) Anmeldung und Eintragung der Durchführung der Erhöhung des Grundkapitals können mit Anmeldung und Eintragung des Beschlusses über die Erhöhung verbunden werden.</w:t>
      </w:r>
    </w:p>
    <w:p>
      <w:r>
        <w:t>(5) (weggefallen)</w:t>
      </w:r>
    </w:p>
    <w:p>
      <w:pPr>
        <w:pStyle w:val="Heading5"/>
      </w:pPr>
      <w:bookmarkStart w:id="241" w:name="b240"/>
      <w:r>
        <w:t>§ 189 Wirksamwerden der Kapitalerhöhung</w:t>
      </w:r>
      <w:r>
        <w:t xml:space="preserve"> </w:t>
      </w:r>
      <w:r>
        <w:rPr>
          <w:rStyle w:val="Suchmarke"/>
        </w:rPr>
        <w:t>#189#</w:t>
      </w:r>
      <w:bookmarkEnd w:id="241"/>
    </w:p>
    <w:p>
      <w:r>
        <w:t>Mit der Eintragung der Durchführung der Erhöhung des Grundkapitals ist das Grundkapital erhöht.</w:t>
      </w:r>
    </w:p>
    <w:p>
      <w:pPr>
        <w:pStyle w:val="Heading5"/>
      </w:pPr>
      <w:bookmarkStart w:id="242" w:name="b241"/>
      <w:r>
        <w:t>§ 190 (weggefallen)</w:t>
      </w:r>
      <w:r>
        <w:t xml:space="preserve"> </w:t>
      </w:r>
      <w:r>
        <w:rPr>
          <w:rStyle w:val="Suchmarke"/>
        </w:rPr>
        <w:t>#190#</w:t>
      </w:r>
      <w:bookmarkEnd w:id="242"/>
    </w:p>
    <w:p>
      <w:r>
        <w:t>-</w:t>
      </w:r>
    </w:p>
    <w:p>
      <w:pPr>
        <w:pStyle w:val="Heading5"/>
      </w:pPr>
      <w:bookmarkStart w:id="243" w:name="b242"/>
      <w:r>
        <w:t>§ 191 Verbotene Ausgabe von Aktien und Zwischenscheinen</w:t>
      </w:r>
      <w:r>
        <w:t xml:space="preserve"> </w:t>
      </w:r>
      <w:r>
        <w:rPr>
          <w:rStyle w:val="Suchmarke"/>
        </w:rPr>
        <w:t>#191#</w:t>
      </w:r>
      <w:bookmarkEnd w:id="243"/>
    </w:p>
    <w:p>
      <w:r>
        <w:rPr>
          <w:rStyle w:val="Satznummer"/>
        </w:rPr>
        <w:t>1</w:t>
      </w:r>
      <w:r>
        <w:t xml:space="preserve">Vor der Eintragung der Durchführung der Erhöhung des Grundkapitals können die neuen Anteilsrechte nicht übertragen, neue Aktien und Zwischenscheine nicht ausgegeben werden. </w:t>
      </w:r>
      <w:r>
        <w:rPr>
          <w:rStyle w:val="Satznummer"/>
        </w:rPr>
        <w:t>2</w:t>
      </w:r>
      <w:r>
        <w:t xml:space="preserve">Die vorher ausgegebenen neuen Aktien und Zwischenscheine sind nichtig. </w:t>
      </w:r>
      <w:r>
        <w:rPr>
          <w:rStyle w:val="Satznummer"/>
        </w:rPr>
        <w:t>3</w:t>
      </w:r>
      <w:r>
        <w:t>Für den Schaden aus der Ausgabe sind die Ausgeber den Inhabern als Gesamtschuldner verantwortlich.</w:t>
      </w:r>
    </w:p>
    <w:p>
      <w:pPr>
        <w:pStyle w:val="Heading4"/>
      </w:pPr>
      <w:bookmarkStart w:id="244" w:name="b243"/>
      <w:r>
        <w:t>Zweiter Unterabschnitt Bedingte Kapitalerhöhung</w:t>
      </w:r>
      <w:bookmarkEnd w:id="244"/>
    </w:p>
    <w:p>
      <w:pPr>
        <w:pStyle w:val="Heading5"/>
      </w:pPr>
      <w:bookmarkStart w:id="245" w:name="b244"/>
      <w:r>
        <w:t>§ 192 Voraussetzungen</w:t>
      </w:r>
      <w:r>
        <w:t xml:space="preserve"> </w:t>
      </w:r>
      <w:r>
        <w:rPr>
          <w:rStyle w:val="Suchmarke"/>
        </w:rPr>
        <w:t>#192#</w:t>
      </w:r>
      <w:bookmarkEnd w:id="245"/>
    </w:p>
    <w:p>
      <w:r>
        <w:t>(1) Die Hauptversammlung kann eine Erhöhung des Grundkapitals beschließen, die nur so weit durchgeführt werden soll, wie von einem Umtausch- oder Bezugsrecht Gebrauch gemacht wird, das die Gesellschaft hat oder auf die neuen Aktien (Bezugsaktien) einräumt (bedingte Kapitalerhöhung).</w:t>
      </w:r>
    </w:p>
    <w:p>
      <w:r>
        <w:t>(2) Die bedingte Kapitalerhöhung soll nur zu folgenden Zwecken beschlossen werden:</w:t>
      </w:r>
    </w:p>
    <w:p>
      <w:pPr>
        <w:tabs>
          <w:tab w:pos="567" w:val="left"/>
        </w:tabs>
        <w:ind w:left="567" w:hanging="567"/>
      </w:pPr>
      <w:r>
        <w:t>1.</w:t>
      </w:r>
      <w:r>
        <w:tab/>
      </w:r>
      <w:r>
        <w:t>zur Gewährung von Umtausch- oder Bezugsrechten auf Grund von Wandelschuldverschreibungen;</w:t>
      </w:r>
    </w:p>
    <w:p>
      <w:pPr>
        <w:tabs>
          <w:tab w:pos="567" w:val="left"/>
        </w:tabs>
        <w:ind w:left="567" w:hanging="567"/>
      </w:pPr>
      <w:r>
        <w:t>2.</w:t>
      </w:r>
      <w:r>
        <w:tab/>
      </w:r>
      <w:r>
        <w:t>zur Vorbereitung des Zusammenschlusses mehrerer Unternehmen;</w:t>
      </w:r>
    </w:p>
    <w:p>
      <w:pPr>
        <w:tabs>
          <w:tab w:pos="567" w:val="left"/>
        </w:tabs>
        <w:ind w:left="567" w:hanging="567"/>
      </w:pPr>
      <w:r>
        <w:t>3.</w:t>
      </w:r>
      <w:r>
        <w:tab/>
      </w:r>
      <w:r>
        <w:t>zur Gewährung von Bezugsrechten an Arbeitnehmer und Mitglieder der Geschäftsführung der Gesellschaft oder eines verbundenen Unternehmens im Wege des Zustimmungs- oder Ermächtigungsbeschlusses.</w:t>
      </w:r>
    </w:p>
    <w:p>
      <w:r>
        <w:t xml:space="preserve">(3) </w:t>
      </w:r>
      <w:r>
        <w:rPr>
          <w:rStyle w:val="Satznummer"/>
        </w:rPr>
        <w:t>1</w:t>
      </w:r>
      <w:r>
        <w:t>Der Nennbetrag des bedingten Kapitals darf sechzig vom Hundert und der Nennbetrag des nach</w:t>
      </w:r>
    </w:p>
    <w:p>
      <w:pPr>
        <w:tabs>
          <w:tab w:pos="567" w:val="left"/>
        </w:tabs>
        <w:ind w:left="567" w:hanging="567"/>
      </w:pPr>
      <w:r>
        <w:t>1.</w:t>
      </w:r>
      <w:r>
        <w:tab/>
      </w:r>
      <w:r>
        <w:t>Absatz 2 Nummer 1 beschlossenen Kapitals die Hälfte,</w:t>
      </w:r>
    </w:p>
    <w:p>
      <w:pPr>
        <w:tabs>
          <w:tab w:pos="567" w:val="left"/>
        </w:tabs>
        <w:ind w:left="567" w:hanging="567"/>
      </w:pPr>
      <w:r>
        <w:t>2.</w:t>
      </w:r>
      <w:r>
        <w:tab/>
      </w:r>
      <w:r>
        <w:t>Absatz 2 Nummer 3 beschlossenen Kapitals zwanzig vom Hundert</w:t>
      </w:r>
    </w:p>
    <w:p>
      <w:r>
        <w:t xml:space="preserve">des Grundkapitals, das zur Zeit der Beschlussfassung über die bedingte Kapitalerhöhung vorhanden ist, nicht übersteigen. </w:t>
      </w:r>
      <w:r>
        <w:rPr>
          <w:rStyle w:val="Satznummer"/>
        </w:rPr>
        <w:t>2</w:t>
      </w:r>
      <w:hyperlink w:anchor="b232" w:history="1">
        <w:r>
          <w:rPr>
            <w:color w:val="0A3A8C"/>
            <w:u w:val="single"/>
          </w:rPr>
          <w:t xml:space="preserve">§ 182</w:t>
        </w:r>
      </w:hyperlink>
      <w:r>
        <w:t xml:space="preserve"> Abs. 1 Satz 5 gilt sinngemäß. </w:t>
      </w:r>
      <w:r>
        <w:rPr>
          <w:rStyle w:val="Satznummer"/>
        </w:rPr>
        <w:t>3</w:t>
      </w:r>
      <w:r>
        <w:t xml:space="preserve">Satz 1 gilt nicht für eine bedingte Kapitalerhöhung nach Absatz 2 Nummer 1, die nur zu dem Zweck beschlossen wird, der Gesellschaft einen Umtausch zu ermöglichen, zu dem sie für den Fall ihrer drohenden Zahlungsunfähigkeit oder zum Zweck der Abwendung einer Überschuldung berechtigt ist. </w:t>
      </w:r>
      <w:r>
        <w:rPr>
          <w:rStyle w:val="Satznummer"/>
        </w:rPr>
        <w:t>4</w:t>
      </w:r>
      <w:r>
        <w:t xml:space="preserve">Ist die Gesellschaft ein Institut im Sinne des § 1 Absatz 1b des Kreditwesengesetzes, gilt Satz 1 ferner nicht für eine bedingte Kapitalerhöhung nach Absatz 2 Nummer 1, die zu dem Zweck beschlossen wird, der Gesellschaft einen Umtausch zur Erfüllung bankaufsichtsrechtlicher oder zum Zweck der Restrukturierung oder Abwicklung erlassener Anforderungen zu ermöglichen. </w:t>
      </w:r>
      <w:r>
        <w:rPr>
          <w:rStyle w:val="Satznummer"/>
        </w:rPr>
        <w:t>5</w:t>
      </w:r>
      <w:r>
        <w:t>Eine Anrechnung von bedingtem Kapital, auf das Satz 3 oder Satz 4 Anwendung findet, auf sonstiges bedingtes Kapital erfolgt nicht.</w:t>
      </w:r>
    </w:p>
    <w:p>
      <w:r>
        <w:t>(4) Ein Beschluß der Hauptversammlung, der dem Beschluß über die bedingte Kapitalerhöhung entgegensteht, ist nichtig.</w:t>
      </w:r>
    </w:p>
    <w:p>
      <w:r>
        <w:t>(5) Die folgenden Vorschriften über das Bezugsrecht gelten sinngemäß für das Umtauschrecht.</w:t>
      </w:r>
    </w:p>
    <w:p>
      <w:pPr>
        <w:pStyle w:val="Heading5"/>
      </w:pPr>
      <w:bookmarkStart w:id="246" w:name="b245"/>
      <w:r>
        <w:t>§ 193 Erfordernisse des Beschlusses</w:t>
      </w:r>
      <w:r>
        <w:t xml:space="preserve"> </w:t>
      </w:r>
      <w:r>
        <w:rPr>
          <w:rStyle w:val="Suchmarke"/>
        </w:rPr>
        <w:t>#193#</w:t>
      </w:r>
      <w:bookmarkEnd w:id="246"/>
    </w:p>
    <w:p>
      <w:r>
        <w:t xml:space="preserve">(1) </w:t>
      </w:r>
      <w:r>
        <w:rPr>
          <w:rStyle w:val="Satznummer"/>
        </w:rPr>
        <w:t>1</w:t>
      </w:r>
      <w:r>
        <w:t xml:space="preserve">Der Beschluß über die bedingte Kapitalerhöhung bedarf einer Mehrheit, die mindestens drei Viertel des bei der Beschlußfassung vertretenen Grundkapitals umfaßt. </w:t>
      </w:r>
      <w:r>
        <w:rPr>
          <w:rStyle w:val="Satznummer"/>
        </w:rPr>
        <w:t>2</w:t>
      </w:r>
      <w:r>
        <w:t xml:space="preserve">Die Satzung kann eine größere Kapitalmehrheit und weitere Erfordernisse bestimmen. </w:t>
      </w:r>
      <w:r>
        <w:rPr>
          <w:rStyle w:val="Satznummer"/>
        </w:rPr>
        <w:t>3</w:t>
      </w:r>
      <w:hyperlink w:anchor="b232" w:history="1">
        <w:r>
          <w:rPr>
            <w:color w:val="0A3A8C"/>
            <w:u w:val="single"/>
          </w:rPr>
          <w:t xml:space="preserve">§ 182</w:t>
        </w:r>
      </w:hyperlink>
      <w:r>
        <w:t xml:space="preserve"> Abs. 2 und </w:t>
      </w:r>
      <w:hyperlink w:anchor="b238" w:history="1">
        <w:r>
          <w:rPr>
            <w:color w:val="0A3A8C"/>
            <w:u w:val="single"/>
          </w:rPr>
          <w:t xml:space="preserve">§ 187</w:t>
        </w:r>
      </w:hyperlink>
      <w:r>
        <w:t xml:space="preserve"> Abs. 2 gelten.</w:t>
      </w:r>
    </w:p>
    <w:p>
      <w:r>
        <w:t>(2) Im Beschluß müssen auch festgestellt werden</w:t>
      </w:r>
    </w:p>
    <w:p>
      <w:pPr>
        <w:tabs>
          <w:tab w:pos="567" w:val="left"/>
        </w:tabs>
        <w:ind w:left="567" w:hanging="567"/>
      </w:pPr>
      <w:r>
        <w:t>1.</w:t>
      </w:r>
      <w:r>
        <w:tab/>
      </w:r>
      <w:r>
        <w:t>der Zweck der bedingten Kapitalerhöhung;</w:t>
      </w:r>
    </w:p>
    <w:p>
      <w:pPr>
        <w:tabs>
          <w:tab w:pos="567" w:val="left"/>
        </w:tabs>
        <w:ind w:left="567" w:hanging="567"/>
      </w:pPr>
      <w:r>
        <w:t>2.</w:t>
      </w:r>
      <w:r>
        <w:tab/>
      </w:r>
      <w:r>
        <w:t>der Kreis der Bezugsberechtigten;</w:t>
      </w:r>
    </w:p>
    <w:p>
      <w:pPr>
        <w:tabs>
          <w:tab w:pos="567" w:val="left"/>
        </w:tabs>
        <w:ind w:left="567" w:hanging="567"/>
      </w:pPr>
      <w:r>
        <w:t>3.</w:t>
      </w:r>
      <w:r>
        <w:tab/>
      </w:r>
      <w:r>
        <w:t xml:space="preserve">der Ausgabebetrag oder die Grundlagen, nach denen dieser Betrag errechnet wird; bei einer bedingten Kapitalerhöhung für die Zwecke des </w:t>
      </w:r>
      <w:hyperlink w:anchor="b244" w:history="1">
        <w:r>
          <w:rPr>
            <w:color w:val="0A3A8C"/>
            <w:u w:val="single"/>
          </w:rPr>
          <w:t xml:space="preserve">§ 192</w:t>
        </w:r>
      </w:hyperlink>
      <w:r>
        <w:t xml:space="preserve"> Abs. 2 Nr. 1 genügt es, wenn in dem Beschluss oder in dem damit verbundenen Beschluss nach § 221 der Mindestausgabebetrag oder die Grundlagen für die Festlegung des Ausgabebetrags oder des Mindestausgabebetrags bestimmt werden; sowie</w:t>
      </w:r>
    </w:p>
    <w:p>
      <w:pPr>
        <w:tabs>
          <w:tab w:pos="567" w:val="left"/>
        </w:tabs>
        <w:ind w:left="567" w:hanging="567"/>
      </w:pPr>
      <w:r>
        <w:t>4.</w:t>
      </w:r>
      <w:r>
        <w:tab/>
      </w:r>
      <w:r>
        <w:t xml:space="preserve">bei Beschlüssen nach </w:t>
      </w:r>
      <w:hyperlink w:anchor="b244" w:history="1">
        <w:r>
          <w:rPr>
            <w:color w:val="0A3A8C"/>
            <w:u w:val="single"/>
          </w:rPr>
          <w:t xml:space="preserve">§ 192</w:t>
        </w:r>
      </w:hyperlink>
      <w:r>
        <w:t xml:space="preserve"> Abs. 2 Nr. 3 auch die Aufteilung der Bezugsrechte auf Mitglieder der Geschäftsführungen und Arbeitnehmer, Erfolgsziele, Erwerbs- und Ausübungszeiträume und Wartezeit für die erstmalige Ausübung (mindestens vier Jahre).</w:t>
      </w:r>
    </w:p>
    <w:p>
      <w:pPr>
        <w:pStyle w:val="Heading5"/>
      </w:pPr>
      <w:bookmarkStart w:id="247" w:name="b246"/>
      <w:r>
        <w:t>§ 194 Bedingte Kapitalerhöhung mit Sacheinlagen; Rückzahlung von Einlagen</w:t>
      </w:r>
      <w:r>
        <w:t xml:space="preserve"> </w:t>
      </w:r>
      <w:r>
        <w:rPr>
          <w:rStyle w:val="Suchmarke"/>
        </w:rPr>
        <w:t>#194#</w:t>
      </w:r>
      <w:bookmarkEnd w:id="247"/>
    </w:p>
    <w:p>
      <w:r>
        <w:t xml:space="preserve">(1) </w:t>
      </w:r>
      <w:r>
        <w:rPr>
          <w:rStyle w:val="Satznummer"/>
        </w:rPr>
        <w:t>1</w:t>
      </w:r>
      <w:r>
        <w:t xml:space="preserve">Wird eine Sacheinlage gemacht, so müssen ihr Gegenstand, die Person, von der die Gesellschaft den Gegenstand erwirbt, und der Nennbetrag, bei Stückaktien die Zahl der bei der Sacheinlage zu gewährenden Aktien im Beschluß über die bedingte Kapitalerhöhung festgesetzt werden. </w:t>
      </w:r>
      <w:r>
        <w:rPr>
          <w:rStyle w:val="Satznummer"/>
        </w:rPr>
        <w:t>2</w:t>
      </w:r>
      <w:r>
        <w:t xml:space="preserve">Als Sacheinlage gilt nicht der Umtausch von Schuldverschreibungen gegen Bezugsaktien. </w:t>
      </w:r>
      <w:r>
        <w:rPr>
          <w:rStyle w:val="Satznummer"/>
        </w:rPr>
        <w:t>3</w:t>
      </w:r>
      <w:r>
        <w:t>Der Beschluß darf nur gefaßt werden, wenn die Einbringung von Sacheinlagen ausdrücklich und ordnungsgemäß bekanntgemacht worden ist.</w:t>
      </w:r>
    </w:p>
    <w:p>
      <w:r>
        <w:t xml:space="preserve">(2) </w:t>
      </w:r>
      <w:hyperlink w:anchor="b30" w:history="1">
        <w:r>
          <w:rPr>
            <w:color w:val="0A3A8C"/>
            <w:u w:val="single"/>
          </w:rPr>
          <w:t xml:space="preserve">§ 27</w:t>
        </w:r>
      </w:hyperlink>
      <w:r>
        <w:t xml:space="preserve"> Abs. 3 und 4 gilt entsprechend; an die Stelle des Zeitpunkts der Anmeldung nach </w:t>
      </w:r>
      <w:hyperlink w:anchor="b30" w:history="1">
        <w:r>
          <w:rPr>
            <w:color w:val="0A3A8C"/>
            <w:u w:val="single"/>
          </w:rPr>
          <w:t xml:space="preserve">§ 27</w:t>
        </w:r>
      </w:hyperlink>
      <w:r>
        <w:t xml:space="preserve"> Abs. 3 Satz 3 und der Eintragung nach </w:t>
      </w:r>
      <w:hyperlink w:anchor="b30" w:history="1">
        <w:r>
          <w:rPr>
            <w:color w:val="0A3A8C"/>
            <w:u w:val="single"/>
          </w:rPr>
          <w:t xml:space="preserve">§ 27</w:t>
        </w:r>
      </w:hyperlink>
      <w:r>
        <w:t xml:space="preserve"> Abs. 3 Satz 4 tritt jeweils der Zeitpunkt der Ausgabe der Bezugsaktien.</w:t>
      </w:r>
    </w:p>
    <w:p>
      <w:r>
        <w:t>(3) Die Absätze 1 und 2 gelten nicht für die Einlage von Geldforderungen, die Arbeitnehmern der Gesellschaft aus einer ihnen von der Gesellschaft eingeräumten Gewinnbeteiligung zustehen.</w:t>
      </w:r>
    </w:p>
    <w:p>
      <w:r>
        <w:t xml:space="preserve">(4) </w:t>
      </w:r>
      <w:r>
        <w:rPr>
          <w:rStyle w:val="Satznummer"/>
        </w:rPr>
        <w:t>1</w:t>
      </w:r>
      <w:r>
        <w:t xml:space="preserve">Bei der Kapitalerhöhung mit Sacheinlagen hat eine Prüfung durch einen oder mehrere Prüfer stattzufinden. </w:t>
      </w:r>
      <w:r>
        <w:rPr>
          <w:rStyle w:val="Satznummer"/>
        </w:rPr>
        <w:t>2</w:t>
      </w:r>
      <w:hyperlink w:anchor="b36" w:history="1">
        <w:r>
          <w:rPr>
            <w:color w:val="0A3A8C"/>
            <w:u w:val="single"/>
          </w:rPr>
          <w:t xml:space="preserve">§ 33</w:t>
        </w:r>
      </w:hyperlink>
      <w:r>
        <w:t xml:space="preserve"> Abs. 3 bis 5, die </w:t>
      </w:r>
      <w:hyperlink w:anchor="b38" w:history="1">
        <w:r>
          <w:rPr>
            <w:color w:val="0A3A8C"/>
            <w:u w:val="single"/>
          </w:rPr>
          <w:t xml:space="preserve">§§ 34</w:t>
        </w:r>
      </w:hyperlink>
      <w:r>
        <w:t xml:space="preserve">, </w:t>
      </w:r>
      <w:hyperlink w:anchor="b39" w:history="1">
        <w:r>
          <w:rPr>
            <w:color w:val="0A3A8C"/>
            <w:u w:val="single"/>
          </w:rPr>
          <w:t xml:space="preserve">35</w:t>
        </w:r>
      </w:hyperlink>
      <w:r>
        <w:t xml:space="preserve"> gelten sinngemäß.</w:t>
      </w:r>
    </w:p>
    <w:p>
      <w:r>
        <w:t xml:space="preserve">(5) </w:t>
      </w:r>
      <w:hyperlink w:anchor="b234" w:history="1">
        <w:r>
          <w:rPr>
            <w:color w:val="0A3A8C"/>
            <w:u w:val="single"/>
          </w:rPr>
          <w:t xml:space="preserve">§ 183a</w:t>
        </w:r>
      </w:hyperlink>
      <w:r>
        <w:t xml:space="preserve"> gilt entsprechend.</w:t>
      </w:r>
    </w:p>
    <w:p>
      <w:pPr>
        <w:pStyle w:val="Heading5"/>
      </w:pPr>
      <w:bookmarkStart w:id="248" w:name="b247"/>
      <w:r>
        <w:t>§ 195 Anmeldung des Beschlusses</w:t>
      </w:r>
      <w:r>
        <w:t xml:space="preserve"> </w:t>
      </w:r>
      <w:r>
        <w:rPr>
          <w:rStyle w:val="Suchmarke"/>
        </w:rPr>
        <w:t>#195#</w:t>
      </w:r>
      <w:bookmarkEnd w:id="248"/>
    </w:p>
    <w:p>
      <w:r>
        <w:t xml:space="preserve">(1) </w:t>
      </w:r>
      <w:r>
        <w:rPr>
          <w:rStyle w:val="Satznummer"/>
        </w:rPr>
        <w:t>1</w:t>
      </w:r>
      <w:r>
        <w:t xml:space="preserve">Der Vorstand und der Vorsitzende des Aufsichtsrats haben den Beschluß über die bedingte Kapitalerhöhung zur Eintragung in das Handelsregister anzumelden. </w:t>
      </w:r>
      <w:r>
        <w:rPr>
          <w:rStyle w:val="Satznummer"/>
        </w:rPr>
        <w:t>2</w:t>
      </w:r>
      <w:hyperlink w:anchor="b235" w:history="1">
        <w:r>
          <w:rPr>
            <w:color w:val="0A3A8C"/>
            <w:u w:val="single"/>
          </w:rPr>
          <w:t xml:space="preserve">§ 184</w:t>
        </w:r>
      </w:hyperlink>
      <w:r>
        <w:t xml:space="preserve"> Abs. 1 Satz 3 gilt entsprechend.</w:t>
      </w:r>
    </w:p>
    <w:p>
      <w:r>
        <w:t>(2) Der Anmeldung sind beizufügen</w:t>
      </w:r>
    </w:p>
    <w:p>
      <w:pPr>
        <w:tabs>
          <w:tab w:pos="567" w:val="left"/>
        </w:tabs>
        <w:ind w:left="567" w:hanging="567"/>
      </w:pPr>
      <w:r>
        <w:t>1.</w:t>
      </w:r>
      <w:r>
        <w:tab/>
      </w:r>
      <w:r>
        <w:t xml:space="preserve">bei einer bedingten Kapitalerhöhung mit Sacheinlagen die Verträge, die den Festsetzungen nach </w:t>
      </w:r>
      <w:hyperlink w:anchor="b246" w:history="1">
        <w:r>
          <w:rPr>
            <w:color w:val="0A3A8C"/>
            <w:u w:val="single"/>
          </w:rPr>
          <w:t xml:space="preserve">§ 194</w:t>
        </w:r>
      </w:hyperlink>
      <w:r>
        <w:t xml:space="preserve"> zugrunde liegen oder zu ihrer Ausführung geschlossen worden sind, und der Bericht über die Prüfung von Sacheinlagen (</w:t>
      </w:r>
      <w:hyperlink w:anchor="b246" w:history="1">
        <w:r>
          <w:rPr>
            <w:color w:val="0A3A8C"/>
            <w:u w:val="single"/>
          </w:rPr>
          <w:t xml:space="preserve">§ 194</w:t>
        </w:r>
      </w:hyperlink>
      <w:r>
        <w:t xml:space="preserve"> Abs. 4) oder die in </w:t>
      </w:r>
      <w:hyperlink w:anchor="b43" w:history="1">
        <w:r>
          <w:rPr>
            <w:color w:val="0A3A8C"/>
            <w:u w:val="single"/>
          </w:rPr>
          <w:t xml:space="preserve">§ 37a</w:t>
        </w:r>
      </w:hyperlink>
      <w:r>
        <w:t xml:space="preserve"> Abs. 3 bezeichneten Anlagen;</w:t>
      </w:r>
    </w:p>
    <w:p>
      <w:pPr>
        <w:tabs>
          <w:tab w:pos="567" w:val="left"/>
        </w:tabs>
        <w:ind w:left="567" w:hanging="567"/>
      </w:pPr>
      <w:r>
        <w:t>2.</w:t>
      </w:r>
      <w:r>
        <w:tab/>
      </w:r>
      <w:r>
        <w:t>eine Berechnung der Kosten, die für die Gesellschaft durch die Ausgabe der Bezugsaktien entstehen werden.</w:t>
      </w:r>
    </w:p>
    <w:p>
      <w:pPr>
        <w:tabs>
          <w:tab w:pos="567" w:val="left"/>
        </w:tabs>
        <w:ind w:left="567" w:hanging="567"/>
      </w:pPr>
      <w:r>
        <w:t>3.</w:t>
      </w:r>
      <w:r>
        <w:tab/>
      </w:r>
      <w:r>
        <w:t>(weggefallen)</w:t>
      </w:r>
    </w:p>
    <w:p>
      <w:r>
        <w:t xml:space="preserve">(3) </w:t>
      </w:r>
      <w:r>
        <w:rPr>
          <w:rStyle w:val="Satznummer"/>
        </w:rPr>
        <w:t>1</w:t>
      </w:r>
      <w:r>
        <w:t xml:space="preserve">Das Gericht kann die Eintragung ablehnen, wenn der Wert der Sacheinlage nicht unwesentlich hinter dem geringsten Ausgabebetrag der dafür zu gewährenden Aktien zurückbleibt. </w:t>
      </w:r>
      <w:r>
        <w:rPr>
          <w:rStyle w:val="Satznummer"/>
        </w:rPr>
        <w:t>2</w:t>
      </w:r>
      <w:r>
        <w:t xml:space="preserve">Wird von einer Prüfung der Sacheinlage nach </w:t>
      </w:r>
      <w:hyperlink w:anchor="b234" w:history="1">
        <w:r>
          <w:rPr>
            <w:color w:val="0A3A8C"/>
            <w:u w:val="single"/>
          </w:rPr>
          <w:t xml:space="preserve">§ 183a</w:t>
        </w:r>
      </w:hyperlink>
      <w:r>
        <w:t xml:space="preserve"> Abs. 1 abgesehen, gilt </w:t>
      </w:r>
      <w:hyperlink w:anchor="b44" w:history="1">
        <w:r>
          <w:rPr>
            <w:color w:val="0A3A8C"/>
            <w:u w:val="single"/>
          </w:rPr>
          <w:t xml:space="preserve">§ 38</w:t>
        </w:r>
      </w:hyperlink>
      <w:r>
        <w:t xml:space="preserve"> Abs. 3 entsprechend.</w:t>
      </w:r>
    </w:p>
    <w:p>
      <w:pPr>
        <w:pStyle w:val="Heading5"/>
      </w:pPr>
      <w:bookmarkStart w:id="249" w:name="b248"/>
      <w:r>
        <w:t>§ 196 (weggefallen)</w:t>
      </w:r>
      <w:r>
        <w:t xml:space="preserve"> </w:t>
      </w:r>
      <w:r>
        <w:rPr>
          <w:rStyle w:val="Suchmarke"/>
        </w:rPr>
        <w:t>#196#</w:t>
      </w:r>
      <w:bookmarkEnd w:id="249"/>
    </w:p>
    <w:p>
      <w:r>
        <w:t>-</w:t>
      </w:r>
    </w:p>
    <w:p>
      <w:pPr>
        <w:pStyle w:val="Heading5"/>
      </w:pPr>
      <w:bookmarkStart w:id="250" w:name="b249"/>
      <w:r>
        <w:t>§ 197 Verbotene Aktienausgabe</w:t>
      </w:r>
      <w:r>
        <w:t xml:space="preserve"> </w:t>
      </w:r>
      <w:r>
        <w:rPr>
          <w:rStyle w:val="Suchmarke"/>
        </w:rPr>
        <w:t>#197#</w:t>
      </w:r>
      <w:bookmarkEnd w:id="250"/>
    </w:p>
    <w:p>
      <w:r>
        <w:rPr>
          <w:rStyle w:val="Satznummer"/>
        </w:rPr>
        <w:t>1</w:t>
      </w:r>
      <w:r>
        <w:t xml:space="preserve">Vor der Eintragung des Beschlusses über die bedingte Kapitalerhöhung können die Bezugsaktien nicht ausgegeben werden. </w:t>
      </w:r>
      <w:r>
        <w:rPr>
          <w:rStyle w:val="Satznummer"/>
        </w:rPr>
        <w:t>2</w:t>
      </w:r>
      <w:r>
        <w:t xml:space="preserve">Ein Anspruch des Bezugsberechtigten entsteht vor diesem Zeitpunkt nicht. </w:t>
      </w:r>
      <w:r>
        <w:rPr>
          <w:rStyle w:val="Satznummer"/>
        </w:rPr>
        <w:t>3</w:t>
      </w:r>
      <w:r>
        <w:t xml:space="preserve">Die vorher ausgegebenen Bezugsaktien sind nichtig. </w:t>
      </w:r>
      <w:r>
        <w:rPr>
          <w:rStyle w:val="Satznummer"/>
        </w:rPr>
        <w:t>4</w:t>
      </w:r>
      <w:r>
        <w:t>Für den Schaden aus der Ausgabe sind die Ausgeber den Inhabern als Gesamtschuldner verantwortlich.</w:t>
      </w:r>
    </w:p>
    <w:p>
      <w:pPr>
        <w:pStyle w:val="Heading5"/>
      </w:pPr>
      <w:bookmarkStart w:id="251" w:name="b250"/>
      <w:r>
        <w:t>§ 198 Bezugserklärung</w:t>
      </w:r>
      <w:r>
        <w:t xml:space="preserve"> </w:t>
      </w:r>
      <w:r>
        <w:rPr>
          <w:rStyle w:val="Suchmarke"/>
        </w:rPr>
        <w:t>#198#</w:t>
      </w:r>
      <w:bookmarkEnd w:id="251"/>
    </w:p>
    <w:p>
      <w:r>
        <w:t xml:space="preserve">(1) </w:t>
      </w:r>
      <w:r>
        <w:rPr>
          <w:rStyle w:val="Satznummer"/>
        </w:rPr>
        <w:t>1</w:t>
      </w:r>
      <w:r>
        <w:t xml:space="preserve">Das Bezugsrecht wird durch schriftliche Erklärung ausgeübt. </w:t>
      </w:r>
      <w:r>
        <w:rPr>
          <w:rStyle w:val="Satznummer"/>
        </w:rPr>
        <w:t>2</w:t>
      </w:r>
      <w:r>
        <w:t xml:space="preserve">Die Erklärung (Bezugserklärung) soll doppelt ausgestellt werden. </w:t>
      </w:r>
      <w:r>
        <w:rPr>
          <w:rStyle w:val="Satznummer"/>
        </w:rPr>
        <w:t>3</w:t>
      </w:r>
      <w:r>
        <w:t xml:space="preserve">Sie hat die Beteiligung nach der Zahl und bei Nennbetragsaktien dem Nennbetrag und, wenn mehrere Gattungen ausgegeben werden, der Gattung der Aktien, die Feststellungen nach </w:t>
      </w:r>
      <w:hyperlink w:anchor="b245" w:history="1">
        <w:r>
          <w:rPr>
            <w:color w:val="0A3A8C"/>
            <w:u w:val="single"/>
          </w:rPr>
          <w:t xml:space="preserve">§ 193</w:t>
        </w:r>
      </w:hyperlink>
      <w:r>
        <w:t xml:space="preserve"> Abs. 2, die nach </w:t>
      </w:r>
      <w:hyperlink w:anchor="b246" w:history="1">
        <w:r>
          <w:rPr>
            <w:color w:val="0A3A8C"/>
            <w:u w:val="single"/>
          </w:rPr>
          <w:t xml:space="preserve">§ 194</w:t>
        </w:r>
      </w:hyperlink>
      <w:r>
        <w:t xml:space="preserve"> bei der Einbringung von Sacheinlagen vorgesehenen Festsetzungen sowie den Tag anzugeben, an dem der Beschluß über die bedingte Kapitalerhöhung gefaßt worden ist.</w:t>
      </w:r>
    </w:p>
    <w:p>
      <w:r>
        <w:t xml:space="preserve">(2) </w:t>
      </w:r>
      <w:r>
        <w:rPr>
          <w:rStyle w:val="Satznummer"/>
        </w:rPr>
        <w:t>1</w:t>
      </w:r>
      <w:r>
        <w:t xml:space="preserve">Die Bezugserklärung hat die gleiche Wirkung wie eine Zeichnungserklärung. </w:t>
      </w:r>
      <w:r>
        <w:rPr>
          <w:rStyle w:val="Satznummer"/>
        </w:rPr>
        <w:t>2</w:t>
      </w:r>
      <w:r>
        <w:t>Bezugserklärungen, deren Inhalt nicht dem Absatz 1 entspricht oder die Beschränkungen der Verpflichtung des Erklärenden enthalten, sind nichtig.</w:t>
      </w:r>
    </w:p>
    <w:p>
      <w:r>
        <w:t>(3) Werden Bezugsaktien ungeachtet der Nichtigkeit einer Bezugserklärung ausgegeben, so kann sich der Erklärende auf die Nichtigkeit nicht berufen, wenn er auf Grund der Bezugserklärung als Aktionär Rechte ausgeübt oder Verpflichtungen erfüllt hat.</w:t>
      </w:r>
    </w:p>
    <w:p>
      <w:r>
        <w:t>(4) Jede nicht in der Bezugserklärung enthaltene Beschränkung ist der Gesellschaft gegenüber unwirksam.</w:t>
      </w:r>
    </w:p>
    <w:p>
      <w:pPr>
        <w:pStyle w:val="Heading5"/>
      </w:pPr>
      <w:bookmarkStart w:id="252" w:name="b251"/>
      <w:r>
        <w:t>§ 199 Ausgabe der Bezugsaktien</w:t>
      </w:r>
      <w:r>
        <w:t xml:space="preserve"> </w:t>
      </w:r>
      <w:r>
        <w:rPr>
          <w:rStyle w:val="Suchmarke"/>
        </w:rPr>
        <w:t>#199#</w:t>
      </w:r>
      <w:bookmarkEnd w:id="252"/>
    </w:p>
    <w:p>
      <w:r>
        <w:t>(1) Der Vorstand darf die Bezugsaktien nur in Erfüllung des im Beschluß über die bedingte Kapitalerhöhung festgesetzten Zwecks und nicht vor der vollen Leistung des Gegenwerts ausgeben, der sich aus dem Beschluß ergibt.</w:t>
      </w:r>
    </w:p>
    <w:p>
      <w:r>
        <w:t xml:space="preserve">(2) </w:t>
      </w:r>
      <w:r>
        <w:rPr>
          <w:rStyle w:val="Satznummer"/>
        </w:rPr>
        <w:t>1</w:t>
      </w:r>
      <w:r>
        <w:t xml:space="preserve">Der Vorstand darf Bezugsaktien gegen Wandelschuldverschreibungen nur ausgeben, wenn der Unterschied zwischen dem Ausgabebetrag der zum Umtausch eingereichten Schuldverschreibungen und dem höheren geringsten Ausgabebetrag der für sie zu gewährenden Bezugsaktien aus einer anderen Gewinnrücklage, soweit sie zu diesem Zweck verwandt werden kann, oder durch Zuzahlung des Umtauschberechtigten gedeckt ist. </w:t>
      </w:r>
      <w:r>
        <w:rPr>
          <w:rStyle w:val="Satznummer"/>
        </w:rPr>
        <w:t>2</w:t>
      </w:r>
      <w:r>
        <w:t>Dies gilt nicht, wenn der Gesamtbetrag, zu dem die Schuldverschreibungen ausgegeben sind, den geringsten Ausgabebetrag der Bezugsaktien insgesamt erreicht oder übersteigt.</w:t>
      </w:r>
    </w:p>
    <w:p>
      <w:pPr>
        <w:pStyle w:val="Heading5"/>
      </w:pPr>
      <w:bookmarkStart w:id="253" w:name="b252"/>
      <w:r>
        <w:t>§ 200 Wirksamwerden der bedingten Kapitalerhöhung</w:t>
      </w:r>
      <w:r>
        <w:t xml:space="preserve"> </w:t>
      </w:r>
      <w:r>
        <w:rPr>
          <w:rStyle w:val="Suchmarke"/>
        </w:rPr>
        <w:t>#200#</w:t>
      </w:r>
      <w:bookmarkEnd w:id="253"/>
    </w:p>
    <w:p>
      <w:r>
        <w:t>Mit der Ausgabe der Bezugsaktien ist das Grundkapital erhöht.</w:t>
      </w:r>
    </w:p>
    <w:p>
      <w:pPr>
        <w:pStyle w:val="Heading5"/>
      </w:pPr>
      <w:bookmarkStart w:id="254" w:name="b253"/>
      <w:r>
        <w:t>§ 201 Anmeldung der Ausgabe von Bezugsaktien</w:t>
      </w:r>
      <w:r>
        <w:t xml:space="preserve"> </w:t>
      </w:r>
      <w:r>
        <w:rPr>
          <w:rStyle w:val="Suchmarke"/>
        </w:rPr>
        <w:t>#201#</w:t>
      </w:r>
      <w:bookmarkEnd w:id="254"/>
    </w:p>
    <w:p>
      <w:r>
        <w:t>(1) Der Vorstand meldet ausgegebene Bezugsaktien zur Eintragung in das Handelsregister mindestens einmal jährlich bis spätestens zum Ende des auf den Ablauf des Geschäftsjahrs folgenden Kalendermonats an.</w:t>
      </w:r>
    </w:p>
    <w:p>
      <w:r>
        <w:t xml:space="preserve">(2) </w:t>
      </w:r>
      <w:r>
        <w:rPr>
          <w:rStyle w:val="Satznummer"/>
        </w:rPr>
        <w:t>1</w:t>
      </w:r>
      <w:r>
        <w:t xml:space="preserve">Der Anmeldung sind die Zweitschriften der Bezugserklärungen und ein vom Vorstand unterschriebenes Verzeichnis der Personen, die das Bezugsrecht ausgeübt haben, beizufügen. </w:t>
      </w:r>
      <w:r>
        <w:rPr>
          <w:rStyle w:val="Satznummer"/>
        </w:rPr>
        <w:t>2</w:t>
      </w:r>
      <w:r>
        <w:t>Das Verzeichnis hat die auf jeden Aktionär entfallenden Aktien und die auf sie gemachten Einlagen anzugeben.</w:t>
      </w:r>
    </w:p>
    <w:p>
      <w:r>
        <w:t>(3) In der Anmeldung hat der Vorstand zu erklären, daß die Bezugsaktien nur in Erfüllung des im Beschluß über die bedingte Kapitalerhöhung festgesetzten Zwecks und nicht vor der vollen Leistung des Gegenwerts ausgegeben worden sind, der sich aus dem Beschluß ergibt.</w:t>
      </w:r>
    </w:p>
    <w:p>
      <w:r>
        <w:t>(4) (weggefallen)</w:t>
      </w:r>
    </w:p>
    <w:p>
      <w:pPr>
        <w:pStyle w:val="Heading4"/>
      </w:pPr>
      <w:bookmarkStart w:id="255" w:name="b254"/>
      <w:r>
        <w:t>Dritter Unterabschnitt Genehmigtes Kapital</w:t>
      </w:r>
      <w:bookmarkEnd w:id="255"/>
    </w:p>
    <w:p>
      <w:pPr>
        <w:pStyle w:val="Heading5"/>
      </w:pPr>
      <w:bookmarkStart w:id="256" w:name="b255"/>
      <w:r>
        <w:t>§ 202 Voraussetzungen</w:t>
      </w:r>
      <w:r>
        <w:t xml:space="preserve"> </w:t>
      </w:r>
      <w:r>
        <w:rPr>
          <w:rStyle w:val="Suchmarke"/>
        </w:rPr>
        <w:t>#202#</w:t>
      </w:r>
      <w:bookmarkEnd w:id="256"/>
    </w:p>
    <w:p>
      <w:r>
        <w:t xml:space="preserve">(1) </w:t>
      </w:r>
      <w:r>
        <w:rPr>
          <w:rStyle w:val="Satznummer"/>
        </w:rPr>
        <w:t>1</w:t>
      </w:r>
      <w:r>
        <w:t xml:space="preserve">Die Satzung kann den Vorstand für höchstens fünf Jahre nach Eintragung der Gesellschaft ermächtigen, das Grundkapital bis zu einem bestimmten Nennbetrag (genehmigtes Kapital) durch Ausgabe neuer Aktien gegen Einlagen zu erhöhen. </w:t>
      </w:r>
      <w:r>
        <w:rPr>
          <w:rStyle w:val="Satznummer"/>
        </w:rPr>
        <w:t>2</w:t>
      </w:r>
      <w:r>
        <w:t>Die Ausgabe von Mehrstimmrechtsaktien kann nicht vorgesehen werden.</w:t>
      </w:r>
    </w:p>
    <w:p>
      <w:r>
        <w:t xml:space="preserve">(2) </w:t>
      </w:r>
      <w:r>
        <w:rPr>
          <w:rStyle w:val="Satznummer"/>
        </w:rPr>
        <w:t>1</w:t>
      </w:r>
      <w:r>
        <w:t xml:space="preserve">Die Ermächtigung kann auch durch Satzungsänderung für höchstens fünf Jahre nach Eintragung der Satzungsänderung erteilt werden. </w:t>
      </w:r>
      <w:r>
        <w:rPr>
          <w:rStyle w:val="Satznummer"/>
        </w:rPr>
        <w:t>2</w:t>
      </w:r>
      <w:r>
        <w:t xml:space="preserve">Der Beschluß der Hauptversammlung bedarf einer Mehrheit, die mindestens drei Viertel des bei der Beschlußfassung vertretenen Grundkapitals umfaßt. </w:t>
      </w:r>
      <w:r>
        <w:rPr>
          <w:rStyle w:val="Satznummer"/>
        </w:rPr>
        <w:t>3</w:t>
      </w:r>
      <w:r>
        <w:t xml:space="preserve">Die Satzung kann eine größere Kapitalmehrheit und weitere Erfordernisse bestimmen. </w:t>
      </w:r>
      <w:r>
        <w:rPr>
          <w:rStyle w:val="Satznummer"/>
        </w:rPr>
        <w:t>4</w:t>
      </w:r>
      <w:hyperlink w:anchor="b232" w:history="1">
        <w:r>
          <w:rPr>
            <w:color w:val="0A3A8C"/>
            <w:u w:val="single"/>
          </w:rPr>
          <w:t xml:space="preserve">§ 182</w:t>
        </w:r>
      </w:hyperlink>
      <w:r>
        <w:t xml:space="preserve"> Abs. 2 gilt.</w:t>
      </w:r>
    </w:p>
    <w:p>
      <w:r>
        <w:t xml:space="preserve">(3) </w:t>
      </w:r>
      <w:r>
        <w:rPr>
          <w:rStyle w:val="Satznummer"/>
        </w:rPr>
        <w:t>1</w:t>
      </w:r>
      <w:r>
        <w:t xml:space="preserve">Der Nennbetrag des genehmigten Kapitals darf die Hälfte des Grundkapitals, das zur Zeit der Ermächtigung vorhanden ist, nicht übersteigen. </w:t>
      </w:r>
      <w:r>
        <w:rPr>
          <w:rStyle w:val="Satznummer"/>
        </w:rPr>
        <w:t>2</w:t>
      </w:r>
      <w:r>
        <w:t xml:space="preserve">Die neuen Aktien sollen nur mit Zustimmung des Aufsichtsrats ausgegeben werden. </w:t>
      </w:r>
      <w:r>
        <w:rPr>
          <w:rStyle w:val="Satznummer"/>
        </w:rPr>
        <w:t>3</w:t>
      </w:r>
      <w:hyperlink w:anchor="b232" w:history="1">
        <w:r>
          <w:rPr>
            <w:color w:val="0A3A8C"/>
            <w:u w:val="single"/>
          </w:rPr>
          <w:t xml:space="preserve">§ 182</w:t>
        </w:r>
      </w:hyperlink>
      <w:r>
        <w:t xml:space="preserve"> Abs. 1 Satz 5 gilt sinngemäß.</w:t>
      </w:r>
    </w:p>
    <w:p>
      <w:r>
        <w:t>(4) Die Satzung kann auch vorsehen, daß die neuen Aktien an Arbeitnehmer der Gesellschaft ausgegeben werden.</w:t>
      </w:r>
    </w:p>
    <w:p>
      <w:pPr>
        <w:pStyle w:val="Heading5"/>
      </w:pPr>
      <w:bookmarkStart w:id="257" w:name="b256"/>
      <w:r>
        <w:t>§ 203 Ausgabe der neuen Aktien</w:t>
      </w:r>
      <w:r>
        <w:t xml:space="preserve"> </w:t>
      </w:r>
      <w:r>
        <w:rPr>
          <w:rStyle w:val="Suchmarke"/>
        </w:rPr>
        <w:t>#203#</w:t>
      </w:r>
      <w:bookmarkEnd w:id="257"/>
    </w:p>
    <w:p>
      <w:r>
        <w:t xml:space="preserve">(1) </w:t>
      </w:r>
      <w:r>
        <w:rPr>
          <w:rStyle w:val="Satznummer"/>
        </w:rPr>
        <w:t>1</w:t>
      </w:r>
      <w:r>
        <w:t xml:space="preserve">Für die Ausgabe der neuen Aktien gelten sinngemäß, soweit sich aus den folgenden Vorschriften nichts anderes ergibt, </w:t>
      </w:r>
      <w:hyperlink w:anchor="b236" w:history="1">
        <w:r>
          <w:rPr>
            <w:color w:val="0A3A8C"/>
            <w:u w:val="single"/>
          </w:rPr>
          <w:t xml:space="preserve">§§ 185</w:t>
        </w:r>
      </w:hyperlink>
      <w:r>
        <w:t xml:space="preserve"> bis </w:t>
      </w:r>
      <w:hyperlink w:anchor="b242" w:history="1">
        <w:r>
          <w:rPr>
            <w:color w:val="0A3A8C"/>
            <w:u w:val="single"/>
          </w:rPr>
          <w:t xml:space="preserve">191</w:t>
        </w:r>
      </w:hyperlink>
      <w:r>
        <w:t xml:space="preserve"> über die Kapitalerhöhung gegen Einlagen. </w:t>
      </w:r>
      <w:r>
        <w:rPr>
          <w:rStyle w:val="Satznummer"/>
        </w:rPr>
        <w:t>2</w:t>
      </w:r>
      <w:r>
        <w:t>An die Stelle des Beschlusses über die Erhöhung des Grundkapitals tritt die Ermächtigung der Satzung zur Ausgabe neuer Aktien.</w:t>
      </w:r>
    </w:p>
    <w:p>
      <w:r>
        <w:t xml:space="preserve">(2) </w:t>
      </w:r>
      <w:r>
        <w:rPr>
          <w:rStyle w:val="Satznummer"/>
        </w:rPr>
        <w:t>1</w:t>
      </w:r>
      <w:r>
        <w:t xml:space="preserve">Die Ermächtigung kann vorsehen, daß der Vorstand über den Ausschluß des Bezugsrechts entscheidet. </w:t>
      </w:r>
      <w:r>
        <w:rPr>
          <w:rStyle w:val="Satznummer"/>
        </w:rPr>
        <w:t>2</w:t>
      </w:r>
      <w:r>
        <w:t xml:space="preserve">Wird eine Ermächtigung, die dies vorsieht, durch Satzungsänderung erteilt, so gilt </w:t>
      </w:r>
      <w:hyperlink w:anchor="b237" w:history="1">
        <w:r>
          <w:rPr>
            <w:color w:val="0A3A8C"/>
            <w:u w:val="single"/>
          </w:rPr>
          <w:t xml:space="preserve">§ 186</w:t>
        </w:r>
      </w:hyperlink>
      <w:r>
        <w:t xml:space="preserve"> Abs. 4 sinngemäß.</w:t>
      </w:r>
    </w:p>
    <w:p>
      <w:r>
        <w:t xml:space="preserve">(3) </w:t>
      </w:r>
      <w:r>
        <w:rPr>
          <w:rStyle w:val="Satznummer"/>
        </w:rPr>
        <w:t>1</w:t>
      </w:r>
      <w:r>
        <w:t xml:space="preserve">Die neuen Aktien sollen nicht ausgegeben werden, solange ausstehende Einlagen auf das bisherige Grundkapital noch erlangt werden können. </w:t>
      </w:r>
      <w:r>
        <w:rPr>
          <w:rStyle w:val="Satznummer"/>
        </w:rPr>
        <w:t>2</w:t>
      </w:r>
      <w:r>
        <w:t xml:space="preserve">Für Versicherungsgesellschaften kann die Satzung etwas anderes bestimmen. </w:t>
      </w:r>
      <w:r>
        <w:rPr>
          <w:rStyle w:val="Satznummer"/>
        </w:rPr>
        <w:t>3</w:t>
      </w:r>
      <w:r>
        <w:t xml:space="preserve">Stehen Einlagen in verhältnismäßig unerheblichem Umfang aus, so hindert dies die Ausgabe der neuen Aktien nicht. </w:t>
      </w:r>
      <w:r>
        <w:rPr>
          <w:rStyle w:val="Satznummer"/>
        </w:rPr>
        <w:t>4</w:t>
      </w:r>
      <w:r>
        <w:t>In der ersten Anmeldung der Durchführung der Erhöhung des Grundkapitals ist anzugeben, welche Einlagen auf das bisherige Grundkapital noch nicht geleistet sind und warum sie nicht erlangt werden können.</w:t>
      </w:r>
    </w:p>
    <w:p>
      <w:r>
        <w:t>(4) Absatz 3 Satz 1 und 4 gilt nicht, wenn die Aktien an Arbeitnehmer der Gesellschaft ausgegeben werden.</w:t>
      </w:r>
    </w:p>
    <w:p>
      <w:pPr>
        <w:pStyle w:val="Heading5"/>
      </w:pPr>
      <w:bookmarkStart w:id="258" w:name="b257"/>
      <w:r>
        <w:t>§ 204 Bedingungen der Aktienausgabe</w:t>
      </w:r>
      <w:r>
        <w:t xml:space="preserve"> </w:t>
      </w:r>
      <w:r>
        <w:rPr>
          <w:rStyle w:val="Suchmarke"/>
        </w:rPr>
        <w:t>#204#</w:t>
      </w:r>
      <w:bookmarkEnd w:id="258"/>
    </w:p>
    <w:p>
      <w:r>
        <w:t xml:space="preserve">(1) </w:t>
      </w:r>
      <w:r>
        <w:rPr>
          <w:rStyle w:val="Satznummer"/>
        </w:rPr>
        <w:t>1</w:t>
      </w:r>
      <w:r>
        <w:t xml:space="preserve">Über den Inhalt der Aktienrechte und die Bedingungen der Aktienausgabe entscheidet der Vorstand, soweit die Ermächtigung keine Bestimmungen enthält. </w:t>
      </w:r>
      <w:r>
        <w:rPr>
          <w:rStyle w:val="Satznummer"/>
        </w:rPr>
        <w:t>2</w:t>
      </w:r>
      <w:r>
        <w:t xml:space="preserve">Die Entscheidung des Vorstands bedarf der Zustimmung des Aufsichtsrats; gleiches gilt für die Entscheidung des Vorstands nach </w:t>
      </w:r>
      <w:hyperlink w:anchor="b256" w:history="1">
        <w:r>
          <w:rPr>
            <w:color w:val="0A3A8C"/>
            <w:u w:val="single"/>
          </w:rPr>
          <w:t xml:space="preserve">§ 203</w:t>
        </w:r>
      </w:hyperlink>
      <w:r>
        <w:t xml:space="preserve"> Abs. 2 über den Ausschluß des Bezugsrechts.</w:t>
      </w:r>
    </w:p>
    <w:p>
      <w:r>
        <w:t>(2) Sind Vorzugsaktien ohne Stimmrecht vorhanden, so können Vorzugsaktien, die bei der Verteilung des Gewinns oder des Gesellschaftsvermögens ihnen vorgehen oder gleichstehen, nur ausgegeben werden, wenn die Ermächtigung es vorsieht.</w:t>
      </w:r>
    </w:p>
    <w:p>
      <w:r>
        <w:t xml:space="preserve">(3) </w:t>
      </w:r>
      <w:r>
        <w:rPr>
          <w:rStyle w:val="Satznummer"/>
        </w:rPr>
        <w:t>1</w:t>
      </w:r>
      <w:r>
        <w:t xml:space="preserve">Weist ein Jahresabschluß, der mit einem uneingeschränkten Bestätigungsvermerk versehen ist, einen Jahresüberschuß aus, so können Aktien an Arbeitnehmer der Gesellschaft auch in der Weise ausgegeben werden, daß die auf sie zu leistende Einlage aus dem Teil des Jahresüberschusses gedeckt wird, den nach § 58 Abs. 2 Vorstand und Aufsichtsrat in andere Gewinnrücklagen einstellen könnten. </w:t>
      </w:r>
      <w:r>
        <w:rPr>
          <w:rStyle w:val="Satznummer"/>
        </w:rPr>
        <w:t>2</w:t>
      </w:r>
      <w:r>
        <w:t xml:space="preserve">Für die Ausgabe der neuen Aktien gelten die Vorschriften über eine Kapitalerhöhung gegen Bareinlagen, ausgenommen </w:t>
      </w:r>
      <w:hyperlink w:anchor="b239" w:history="1">
        <w:r>
          <w:rPr>
            <w:color w:val="0A3A8C"/>
            <w:u w:val="single"/>
          </w:rPr>
          <w:t xml:space="preserve">§ 188</w:t>
        </w:r>
      </w:hyperlink>
      <w:r>
        <w:t xml:space="preserve"> Abs. 2. </w:t>
      </w:r>
      <w:r>
        <w:rPr>
          <w:rStyle w:val="Satznummer"/>
        </w:rPr>
        <w:t>3</w:t>
      </w:r>
      <w:r>
        <w:t xml:space="preserve">Der Anmeldung der Durchführung der Erhöhung des Grundkapitals ist außerdem der festgestellte Jahresabschluß mit Bestätigungsvermerk beizufügen. </w:t>
      </w:r>
      <w:r>
        <w:rPr>
          <w:rStyle w:val="Satznummer"/>
        </w:rPr>
        <w:t>4</w:t>
      </w:r>
      <w:r>
        <w:t xml:space="preserve">Die Anmeldenden haben ferner die Erklärung nach </w:t>
      </w:r>
      <w:hyperlink w:anchor="b264" w:history="1">
        <w:r>
          <w:rPr>
            <w:color w:val="0A3A8C"/>
            <w:u w:val="single"/>
          </w:rPr>
          <w:t xml:space="preserve">§ 210</w:t>
        </w:r>
      </w:hyperlink>
      <w:r>
        <w:t xml:space="preserve"> Abs. 1 Satz 2 abzugeben.</w:t>
      </w:r>
    </w:p>
    <w:p>
      <w:pPr>
        <w:pStyle w:val="Heading5"/>
      </w:pPr>
      <w:bookmarkStart w:id="259" w:name="b258"/>
      <w:r>
        <w:t>§ 205 Ausgabe gegen Sacheinlagen; Rückzahlung von Einlagen</w:t>
      </w:r>
      <w:r>
        <w:t xml:space="preserve"> </w:t>
      </w:r>
      <w:r>
        <w:rPr>
          <w:rStyle w:val="Suchmarke"/>
        </w:rPr>
        <w:t>#205#</w:t>
      </w:r>
      <w:bookmarkEnd w:id="259"/>
    </w:p>
    <w:p>
      <w:r>
        <w:t>(1) Gegen Sacheinlagen dürfen Aktien nur ausgegeben werden, wenn die Ermächtigung es vorsieht.</w:t>
      </w:r>
    </w:p>
    <w:p>
      <w:r>
        <w:t xml:space="preserve">(2) </w:t>
      </w:r>
      <w:r>
        <w:rPr>
          <w:rStyle w:val="Satznummer"/>
        </w:rPr>
        <w:t>1</w:t>
      </w:r>
      <w:r>
        <w:t xml:space="preserve">Der Gegenstand der Sacheinlage, die Person, von der die Gesellschaft den Gegenstand erwirbt, und der Nennbetrag, bei Stückaktien die Zahl der bei der Sacheinlage zu gewährenden Aktien sind, wenn sie nicht in der Ermächtigung festgesetzt sind, vom Vorstand festzusetzen und in den Zeichnungsschein aufzunehmen. </w:t>
      </w:r>
      <w:r>
        <w:rPr>
          <w:rStyle w:val="Satznummer"/>
        </w:rPr>
        <w:t>2</w:t>
      </w:r>
      <w:r>
        <w:t>Der Vorstand soll die Entscheidung nur mit Zustimmung des Aufsichtsrats treffen.</w:t>
      </w:r>
    </w:p>
    <w:p>
      <w:r>
        <w:t xml:space="preserve">(3) </w:t>
      </w:r>
      <w:hyperlink w:anchor="b30" w:history="1">
        <w:r>
          <w:rPr>
            <w:color w:val="0A3A8C"/>
            <w:u w:val="single"/>
          </w:rPr>
          <w:t xml:space="preserve">§ 27</w:t>
        </w:r>
      </w:hyperlink>
      <w:r>
        <w:t xml:space="preserve"> Abs. 3 und 4 gilt entsprechend.</w:t>
      </w:r>
    </w:p>
    <w:p>
      <w:r>
        <w:t>(4) Die Absätze 2 und 3 gelten nicht für die Einlage von Geldforderungen, die Arbeitnehmern der Gesellschaft aus einer ihnen von der Gesellschaft eingeräumten Gewinnbeteiligung zustehen.</w:t>
      </w:r>
    </w:p>
    <w:p>
      <w:r>
        <w:t xml:space="preserve">(5) </w:t>
      </w:r>
      <w:r>
        <w:rPr>
          <w:rStyle w:val="Satznummer"/>
        </w:rPr>
        <w:t>1</w:t>
      </w:r>
      <w:r>
        <w:t xml:space="preserve">Bei Ausgabe der Aktien gegen Sacheinlagen hat eine Prüfung durch einen oder mehrere Prüfer stattzufinden; </w:t>
      </w:r>
      <w:hyperlink w:anchor="b36" w:history="1">
        <w:r>
          <w:rPr>
            <w:color w:val="0A3A8C"/>
            <w:u w:val="single"/>
          </w:rPr>
          <w:t xml:space="preserve">§ 33</w:t>
        </w:r>
      </w:hyperlink>
      <w:r>
        <w:t xml:space="preserve"> Abs. 3 bis 5, die </w:t>
      </w:r>
      <w:hyperlink w:anchor="b38" w:history="1">
        <w:r>
          <w:rPr>
            <w:color w:val="0A3A8C"/>
            <w:u w:val="single"/>
          </w:rPr>
          <w:t xml:space="preserve">§§ 34</w:t>
        </w:r>
      </w:hyperlink>
      <w:r>
        <w:t xml:space="preserve">, </w:t>
      </w:r>
      <w:hyperlink w:anchor="b39" w:history="1">
        <w:r>
          <w:rPr>
            <w:color w:val="0A3A8C"/>
            <w:u w:val="single"/>
          </w:rPr>
          <w:t xml:space="preserve">35</w:t>
        </w:r>
      </w:hyperlink>
      <w:r>
        <w:t xml:space="preserve"> gelten sinngemäß. </w:t>
      </w:r>
      <w:r>
        <w:rPr>
          <w:rStyle w:val="Satznummer"/>
        </w:rPr>
        <w:t>2</w:t>
      </w:r>
      <w:hyperlink w:anchor="b234" w:history="1">
        <w:r>
          <w:rPr>
            <w:color w:val="0A3A8C"/>
            <w:u w:val="single"/>
          </w:rPr>
          <w:t xml:space="preserve">§ 183a</w:t>
        </w:r>
      </w:hyperlink>
      <w:r>
        <w:t xml:space="preserve"> ist entsprechend anzuwenden. </w:t>
      </w:r>
      <w:r>
        <w:rPr>
          <w:rStyle w:val="Satznummer"/>
        </w:rPr>
        <w:t>3</w:t>
      </w:r>
      <w:r>
        <w:t>Anstelle des Datums des Beschlusses über die Kapitalerhöhung hat der Vorstand seine Entscheidung über die Ausgabe neuer Aktien gegen Sacheinlagen sowie die Angaben nach § 37a Abs. 1 und 2 in den Gesellschaftsblättern bekannt zu machen.</w:t>
      </w:r>
    </w:p>
    <w:p>
      <w:r>
        <w:t>(6) Soweit eine Prüfung der Sacheinlage nicht stattfindet, gilt für die Anmeldung der Durchführung der Kapitalerhöhung zur Eintragung in das Handelsregister (</w:t>
      </w:r>
      <w:hyperlink w:anchor="b256" w:history="1">
        <w:r>
          <w:rPr>
            <w:color w:val="0A3A8C"/>
            <w:u w:val="single"/>
          </w:rPr>
          <w:t xml:space="preserve">§ 203</w:t>
        </w:r>
      </w:hyperlink>
      <w:r>
        <w:t xml:space="preserve"> Abs. 1 Satz 1, </w:t>
      </w:r>
      <w:hyperlink w:anchor="b239" w:history="1">
        <w:r>
          <w:rPr>
            <w:color w:val="0A3A8C"/>
            <w:u w:val="single"/>
          </w:rPr>
          <w:t xml:space="preserve">§ 188</w:t>
        </w:r>
      </w:hyperlink>
      <w:r>
        <w:t xml:space="preserve">) auch </w:t>
      </w:r>
      <w:hyperlink w:anchor="b235" w:history="1">
        <w:r>
          <w:rPr>
            <w:color w:val="0A3A8C"/>
            <w:u w:val="single"/>
          </w:rPr>
          <w:t xml:space="preserve">§ 184</w:t>
        </w:r>
      </w:hyperlink>
      <w:r>
        <w:t xml:space="preserve"> Abs. 1 Satz 3 und Abs. 2 entsprechend.</w:t>
      </w:r>
    </w:p>
    <w:p>
      <w:r>
        <w:t xml:space="preserve">(7) </w:t>
      </w:r>
      <w:r>
        <w:rPr>
          <w:rStyle w:val="Satznummer"/>
        </w:rPr>
        <w:t>1</w:t>
      </w:r>
      <w:r>
        <w:t xml:space="preserve">Das Gericht kann die Eintragung ablehnen, wenn der Wert der Sacheinlage nicht unwesentlich hinter dem geringsten Ausgabebetrag der dafür zu gewährenden Aktien zurückbleibt. </w:t>
      </w:r>
      <w:r>
        <w:rPr>
          <w:rStyle w:val="Satznummer"/>
        </w:rPr>
        <w:t>2</w:t>
      </w:r>
      <w:r>
        <w:t xml:space="preserve">Wird von einer Prüfung der Sacheinlage nach </w:t>
      </w:r>
      <w:hyperlink w:anchor="b234" w:history="1">
        <w:r>
          <w:rPr>
            <w:color w:val="0A3A8C"/>
            <w:u w:val="single"/>
          </w:rPr>
          <w:t xml:space="preserve">§ 183a</w:t>
        </w:r>
      </w:hyperlink>
      <w:r>
        <w:t xml:space="preserve"> Abs. 1 abgesehen, gilt </w:t>
      </w:r>
      <w:hyperlink w:anchor="b44" w:history="1">
        <w:r>
          <w:rPr>
            <w:color w:val="0A3A8C"/>
            <w:u w:val="single"/>
          </w:rPr>
          <w:t xml:space="preserve">§ 38</w:t>
        </w:r>
      </w:hyperlink>
      <w:r>
        <w:t xml:space="preserve"> Abs. 3 entsprechend.</w:t>
      </w:r>
    </w:p>
    <w:p>
      <w:pPr>
        <w:pStyle w:val="Heading5"/>
      </w:pPr>
      <w:bookmarkStart w:id="260" w:name="b259"/>
      <w:r>
        <w:t>§ 206 Verträge über Sacheinlagen vor Eintragung der Gesellschaft</w:t>
      </w:r>
      <w:r>
        <w:t xml:space="preserve"> </w:t>
      </w:r>
      <w:r>
        <w:rPr>
          <w:rStyle w:val="Suchmarke"/>
        </w:rPr>
        <w:t>#206#</w:t>
      </w:r>
      <w:bookmarkEnd w:id="260"/>
    </w:p>
    <w:p>
      <w:r>
        <w:rPr>
          <w:rStyle w:val="Satznummer"/>
        </w:rPr>
        <w:t>1</w:t>
      </w:r>
      <w:r>
        <w:t xml:space="preserve">Sind vor Eintragung der Gesellschaft Verträge geschlossen worden, nach denen auf das genehmigte Kapital eine Sacheinlage zu leisten ist, so muß die Satzung die Festsetzungen enthalten, die für eine Ausgabe gegen Sacheinlagen vorgeschrieben sind. </w:t>
      </w:r>
      <w:r>
        <w:rPr>
          <w:rStyle w:val="Satznummer"/>
        </w:rPr>
        <w:t>2</w:t>
      </w:r>
      <w:r>
        <w:t xml:space="preserve">Dabei gelten sinngemäß </w:t>
      </w:r>
      <w:hyperlink w:anchor="b30" w:history="1">
        <w:r>
          <w:rPr>
            <w:color w:val="0A3A8C"/>
            <w:u w:val="single"/>
          </w:rPr>
          <w:t xml:space="preserve">§ 27</w:t>
        </w:r>
      </w:hyperlink>
      <w:r>
        <w:t xml:space="preserve"> Abs. 3 und 5, die </w:t>
      </w:r>
      <w:hyperlink w:anchor="b35" w:history="1">
        <w:r>
          <w:rPr>
            <w:color w:val="0A3A8C"/>
            <w:u w:val="single"/>
          </w:rPr>
          <w:t xml:space="preserve">§§ 32</w:t>
        </w:r>
      </w:hyperlink>
      <w:r>
        <w:t xml:space="preserve"> bis </w:t>
      </w:r>
      <w:hyperlink w:anchor="b39" w:history="1">
        <w:r>
          <w:rPr>
            <w:color w:val="0A3A8C"/>
            <w:u w:val="single"/>
          </w:rPr>
          <w:t xml:space="preserve">35</w:t>
        </w:r>
      </w:hyperlink>
      <w:r>
        <w:t xml:space="preserve">, </w:t>
      </w:r>
      <w:hyperlink w:anchor="b42" w:history="1">
        <w:r>
          <w:rPr>
            <w:color w:val="0A3A8C"/>
            <w:u w:val="single"/>
          </w:rPr>
          <w:t xml:space="preserve">37</w:t>
        </w:r>
      </w:hyperlink>
      <w:r>
        <w:t xml:space="preserve"> Abs. 4 Nr. 2, 4 und 5, die </w:t>
      </w:r>
      <w:hyperlink w:anchor="b43" w:history="1">
        <w:r>
          <w:rPr>
            <w:color w:val="0A3A8C"/>
            <w:u w:val="single"/>
          </w:rPr>
          <w:t xml:space="preserve">§§ 37a</w:t>
        </w:r>
      </w:hyperlink>
      <w:r>
        <w:t xml:space="preserve">, </w:t>
      </w:r>
      <w:hyperlink w:anchor="b44" w:history="1">
        <w:r>
          <w:rPr>
            <w:color w:val="0A3A8C"/>
            <w:u w:val="single"/>
          </w:rPr>
          <w:t xml:space="preserve">38</w:t>
        </w:r>
      </w:hyperlink>
      <w:r>
        <w:t xml:space="preserve"> Abs. 2 und 3 sowie </w:t>
      </w:r>
      <w:hyperlink w:anchor="b54" w:history="1">
        <w:r>
          <w:rPr>
            <w:color w:val="0A3A8C"/>
            <w:u w:val="single"/>
          </w:rPr>
          <w:t xml:space="preserve">§ 49</w:t>
        </w:r>
      </w:hyperlink>
      <w:r>
        <w:t xml:space="preserve"> über die Gründung der Gesellschaft. </w:t>
      </w:r>
      <w:r>
        <w:rPr>
          <w:rStyle w:val="Satznummer"/>
        </w:rPr>
        <w:t>3</w:t>
      </w:r>
      <w:r>
        <w:t>An die Stelle der Gründer tritt der Vorstand und an die Stelle der Anmeldung und Eintragung der Gesellschaft die Anmeldung und Eintragung der Durchführung der Erhöhung des Grundkapitals.</w:t>
      </w:r>
    </w:p>
    <w:p>
      <w:pPr>
        <w:pStyle w:val="Heading4"/>
      </w:pPr>
      <w:bookmarkStart w:id="261" w:name="b260"/>
      <w:r>
        <w:t>Vierter Unterabschnitt Kapitalerhöhung aus Gesellschaftsmitteln</w:t>
      </w:r>
      <w:bookmarkEnd w:id="261"/>
    </w:p>
    <w:p>
      <w:pPr>
        <w:pStyle w:val="Heading5"/>
      </w:pPr>
      <w:bookmarkStart w:id="262" w:name="b261"/>
      <w:r>
        <w:t>§ 207 Voraussetzungen</w:t>
      </w:r>
      <w:r>
        <w:t xml:space="preserve"> </w:t>
      </w:r>
      <w:r>
        <w:rPr>
          <w:rStyle w:val="Suchmarke"/>
        </w:rPr>
        <w:t>#207#</w:t>
      </w:r>
      <w:bookmarkEnd w:id="262"/>
    </w:p>
    <w:p>
      <w:r>
        <w:t>(1) Die Hauptversammlung kann eine Erhöhung des Grundkapitals durch Umwandlung der Kapitalrücklage und von Gewinnrücklagen in Grundkapital beschließen.</w:t>
      </w:r>
    </w:p>
    <w:p>
      <w:r>
        <w:t xml:space="preserve">(2) </w:t>
      </w:r>
      <w:r>
        <w:rPr>
          <w:rStyle w:val="Satznummer"/>
        </w:rPr>
        <w:t>1</w:t>
      </w:r>
      <w:r>
        <w:t xml:space="preserve">Für den Beschluß und für die Anmeldung des Beschlusses gelten </w:t>
      </w:r>
      <w:hyperlink w:anchor="b232" w:history="1">
        <w:r>
          <w:rPr>
            <w:color w:val="0A3A8C"/>
            <w:u w:val="single"/>
          </w:rPr>
          <w:t xml:space="preserve">§ 182</w:t>
        </w:r>
      </w:hyperlink>
      <w:r>
        <w:t xml:space="preserve"> Abs. 1, </w:t>
      </w:r>
      <w:hyperlink w:anchor="b235" w:history="1">
        <w:r>
          <w:rPr>
            <w:color w:val="0A3A8C"/>
            <w:u w:val="single"/>
          </w:rPr>
          <w:t xml:space="preserve">§ 184</w:t>
        </w:r>
      </w:hyperlink>
      <w:r>
        <w:t xml:space="preserve"> Abs. 1 sinngemäß. </w:t>
      </w:r>
      <w:r>
        <w:rPr>
          <w:rStyle w:val="Satznummer"/>
        </w:rPr>
        <w:t>2</w:t>
      </w:r>
      <w:r>
        <w:t>Gesellschaften mit Stückaktien können ihr Grundkapital auch ohne Ausgabe neuer Aktien erhöhen; der Beschluß über die Kapitalerhöhung muß die Art der Erhöhung angeben.</w:t>
      </w:r>
    </w:p>
    <w:p>
      <w:r>
        <w:t>(3) Dem Beschluß ist eine Bilanz zugrunde zu legen.</w:t>
      </w:r>
    </w:p>
    <w:p>
      <w:pPr>
        <w:pStyle w:val="Heading5"/>
      </w:pPr>
      <w:bookmarkStart w:id="263" w:name="b262"/>
      <w:r>
        <w:t>§ 208 Umwandlungsfähigkeit von Kapital- und Gewinnrücklagen</w:t>
      </w:r>
      <w:r>
        <w:t xml:space="preserve"> </w:t>
      </w:r>
      <w:r>
        <w:rPr>
          <w:rStyle w:val="Suchmarke"/>
        </w:rPr>
        <w:t>#208#</w:t>
      </w:r>
      <w:bookmarkEnd w:id="263"/>
    </w:p>
    <w:p>
      <w:r>
        <w:t xml:space="preserve">(1) </w:t>
      </w:r>
      <w:r>
        <w:rPr>
          <w:rStyle w:val="Satznummer"/>
        </w:rPr>
        <w:t>1</w:t>
      </w:r>
      <w:r>
        <w:t xml:space="preserve">Die Kapitalrücklage und die Gewinnrücklagen, die in Grundkapital umgewandelt werden sollen, müssen in der letzten Jahresbilanz und, wenn dem Beschluß eine andere Bilanz zugrunde gelegt wird, auch in dieser Bilanz unter "Kapitalrücklage" oder "Gewinnrücklagen" oder im letzten Beschluß über die Verwendung des Jahresüberschusses oder des Bilanzgewinns als Zuführung zu diesen Rücklagen ausgewiesen sein. </w:t>
      </w:r>
      <w:r>
        <w:rPr>
          <w:rStyle w:val="Satznummer"/>
        </w:rPr>
        <w:t>2</w:t>
      </w:r>
      <w:r>
        <w:t>Vorbehaltlich des Absatzes 2 können andere Gewinnrücklagen und deren Zuführungen in voller Höhe, die Kapitalrücklage und die gesetzliche Rücklage sowie deren Zuführungen nur, soweit sie zusammen den zehnten oder den in der Satzung bestimmten höheren Teil des bisherigen Grundkapitals übersteigen, in Grundkapital umgewandelt werden.</w:t>
      </w:r>
    </w:p>
    <w:p>
      <w:r>
        <w:t xml:space="preserve">(2) </w:t>
      </w:r>
      <w:r>
        <w:rPr>
          <w:rStyle w:val="Satznummer"/>
        </w:rPr>
        <w:t>1</w:t>
      </w:r>
      <w:r>
        <w:t xml:space="preserve">Die Kapitalrücklage und die Gewinnrücklagen sowie deren Zuführungen können nicht umgewandelt werden, soweit in der zugrunde gelegten Bilanz ein Verlust einschließlich eines Verlustvortrags ausgewiesen ist. </w:t>
      </w:r>
      <w:r>
        <w:rPr>
          <w:rStyle w:val="Satznummer"/>
        </w:rPr>
        <w:t>2</w:t>
      </w:r>
      <w:r>
        <w:t>Gewinnrücklagen und deren Zuführungen, die für einen bestimmten Zweck bestimmt sind, dürfen nur umgewandelt werden, soweit dies mit ihrer Zweckbestimmung vereinbar ist.</w:t>
      </w:r>
    </w:p>
    <w:p>
      <w:pPr>
        <w:pStyle w:val="Heading5"/>
      </w:pPr>
      <w:bookmarkStart w:id="264" w:name="b263"/>
      <w:r>
        <w:t>§ 209 Zugrunde gelegte Bilanz</w:t>
      </w:r>
      <w:r>
        <w:t xml:space="preserve"> </w:t>
      </w:r>
      <w:r>
        <w:rPr>
          <w:rStyle w:val="Suchmarke"/>
        </w:rPr>
        <w:t>#209#</w:t>
      </w:r>
      <w:bookmarkEnd w:id="264"/>
    </w:p>
    <w:p>
      <w:r>
        <w:t>(1) Dem Beschluß kann die letzte Jahresbilanz zugrunde gelegt werden, wenn die Jahresbilanz geprüft und die festgestellte Jahresbilanz mit dem uneingeschränkten Bestätigungsvermerk des Abschlußprüfers versehen ist und wenn ihr Stichtag höchstens acht Monate vor der Anmeldung des Beschlusses zur Eintragung in das Handelsregister liegt.</w:t>
      </w:r>
    </w:p>
    <w:p>
      <w:r>
        <w:t xml:space="preserve">(2) </w:t>
      </w:r>
      <w:r>
        <w:rPr>
          <w:rStyle w:val="Satznummer"/>
        </w:rPr>
        <w:t>1</w:t>
      </w:r>
      <w:r>
        <w:t xml:space="preserve">Wird dem Beschluß nicht die letzte Jahresbilanz zugrunde gelegt, so muß die Bilanz den </w:t>
      </w:r>
      <w:hyperlink w:anchor="b196" w:history="1">
        <w:r>
          <w:rPr>
            <w:color w:val="0A3A8C"/>
            <w:u w:val="single"/>
          </w:rPr>
          <w:t xml:space="preserve">§§ 150</w:t>
        </w:r>
      </w:hyperlink>
      <w:r>
        <w:t xml:space="preserve">, </w:t>
      </w:r>
      <w:hyperlink w:anchor="b199" w:history="1">
        <w:r>
          <w:rPr>
            <w:color w:val="0A3A8C"/>
            <w:u w:val="single"/>
          </w:rPr>
          <w:t xml:space="preserve">152</w:t>
        </w:r>
      </w:hyperlink>
      <w:r>
        <w:t xml:space="preserve"> dieses Gesetzes, §§ 242 bis 256a, 264 bis 274a des Handelsgesetzbuchs entsprechen. </w:t>
      </w:r>
      <w:r>
        <w:rPr>
          <w:rStyle w:val="Satznummer"/>
        </w:rPr>
        <w:t>2</w:t>
      </w:r>
      <w:r>
        <w:t>Der Stichtag der Bilanz darf höchstens acht Monate vor der Anmeldung des Beschlusses zur Eintragung in das Handelsregister liegen.</w:t>
      </w:r>
    </w:p>
    <w:p>
      <w:r>
        <w:t xml:space="preserve">(3) </w:t>
      </w:r>
      <w:r>
        <w:rPr>
          <w:rStyle w:val="Satznummer"/>
        </w:rPr>
        <w:t>1</w:t>
      </w:r>
      <w:r>
        <w:t xml:space="preserve">Die Bilanz muß durch einen Abschlußprüfer darauf geprüft werden, ob sie den </w:t>
      </w:r>
      <w:hyperlink w:anchor="b196" w:history="1">
        <w:r>
          <w:rPr>
            <w:color w:val="0A3A8C"/>
            <w:u w:val="single"/>
          </w:rPr>
          <w:t xml:space="preserve">§§ 150</w:t>
        </w:r>
      </w:hyperlink>
      <w:r>
        <w:t xml:space="preserve">, </w:t>
      </w:r>
      <w:hyperlink w:anchor="b199" w:history="1">
        <w:r>
          <w:rPr>
            <w:color w:val="0A3A8C"/>
            <w:u w:val="single"/>
          </w:rPr>
          <w:t xml:space="preserve">152</w:t>
        </w:r>
      </w:hyperlink>
      <w:r>
        <w:t xml:space="preserve"> dieses Gesetzes, §§ 242 bis 256a, 264 bis 274a des Handelsgesetzbuchs entspricht. </w:t>
      </w:r>
      <w:r>
        <w:rPr>
          <w:rStyle w:val="Satznummer"/>
        </w:rPr>
        <w:t>2</w:t>
      </w:r>
      <w:r>
        <w:t>Sie muß mit einem uneingeschränkten Bestätigungsvermerk versehen sein.</w:t>
      </w:r>
    </w:p>
    <w:p>
      <w:r>
        <w:t xml:space="preserve">(4) </w:t>
      </w:r>
      <w:r>
        <w:rPr>
          <w:rStyle w:val="Satznummer"/>
        </w:rPr>
        <w:t>1</w:t>
      </w:r>
      <w:r>
        <w:t xml:space="preserve">Wenn die Hauptversammlung keinen anderen Prüfer wählt, gilt der Prüfer als gewählt, der für die Prüfung des letzten Jahresabschlusses von der Hauptversammlung gewählt oder vom Gericht bestellt worden ist. </w:t>
      </w:r>
      <w:r>
        <w:rPr>
          <w:rStyle w:val="Satznummer"/>
        </w:rPr>
        <w:t>2</w:t>
      </w:r>
      <w:r>
        <w:t>Soweit sich aus der Besonderheit des Prüfungsauftrags nichts anderes ergibt, sind auf die Prüfung § 318 Abs. 1 Satz 3 und 4, § 319 Abs. 1 bis 4, § 319b Abs. 1, § 320 Abs. 1, 2, §§ 321, 322 Abs. 7 und § 323 des Handelsgesetzbuchs sowie bei einer Gesellschaft, die Unternehmen von öffentlichem Interesse nach § 316a Satz 2 des Handelsgesetzbuchs ist, auch Artikel 5 Absatz 1 der Verordnung (EU) Nr. 537/2014 entsprechend anzuwenden.</w:t>
      </w:r>
    </w:p>
    <w:p>
      <w:r>
        <w:t>(5) Soweit sich aus der Besonderheit des Prüfungsauftrags nichts anderes ergibt, ist auf die Prüfung der Bilanz von Versicherungsgesellschaften § 341k des Handelsgesetzbuchs anzuwenden.</w:t>
      </w:r>
    </w:p>
    <w:p>
      <w:r>
        <w:t xml:space="preserve">(6) Im Fall der Absätze 2 bis 5 gilt für das Zugänglichmachen der Bilanz und für die Erteilung von Abschriften </w:t>
      </w:r>
      <w:hyperlink w:anchor="b219" w:history="1">
        <w:r>
          <w:rPr>
            <w:color w:val="0A3A8C"/>
            <w:u w:val="single"/>
          </w:rPr>
          <w:t xml:space="preserve">§ 175</w:t>
        </w:r>
      </w:hyperlink>
      <w:r>
        <w:t xml:space="preserve"> Abs. 2 sinngemäß.</w:t>
      </w:r>
    </w:p>
    <w:p>
      <w:pPr>
        <w:pStyle w:val="Heading5"/>
      </w:pPr>
      <w:bookmarkStart w:id="265" w:name="b264"/>
      <w:r>
        <w:t>§ 210 Anmeldung und Eintragung des Beschlusses</w:t>
      </w:r>
      <w:r>
        <w:t xml:space="preserve"> </w:t>
      </w:r>
      <w:r>
        <w:rPr>
          <w:rStyle w:val="Suchmarke"/>
        </w:rPr>
        <w:t>#210#</w:t>
      </w:r>
      <w:bookmarkEnd w:id="265"/>
    </w:p>
    <w:p>
      <w:r>
        <w:t xml:space="preserve">(1) </w:t>
      </w:r>
      <w:r>
        <w:rPr>
          <w:rStyle w:val="Satznummer"/>
        </w:rPr>
        <w:t>1</w:t>
      </w:r>
      <w:r>
        <w:t xml:space="preserve">Der Anmeldung des Beschlusses zur Eintragung in das Handelsregister ist die der Kapitalerhöhung zugrunde gelegte Bilanz mit Bestätigungsvermerk, im Fall des </w:t>
      </w:r>
      <w:hyperlink w:anchor="b263" w:history="1">
        <w:r>
          <w:rPr>
            <w:color w:val="0A3A8C"/>
            <w:u w:val="single"/>
          </w:rPr>
          <w:t xml:space="preserve">§ 209</w:t>
        </w:r>
      </w:hyperlink>
      <w:r>
        <w:t xml:space="preserve"> Abs. 2 bis 6 außerdem die letzte Jahresbilanz, sofern sie noch nicht nach § 325 Abs. 1 des Handelsgesetzbuchs eingereicht ist, beizufügen. </w:t>
      </w:r>
      <w:r>
        <w:rPr>
          <w:rStyle w:val="Satznummer"/>
        </w:rPr>
        <w:t>2</w:t>
      </w:r>
      <w:r>
        <w:t>Die Anmeldenden haben dem Gericht gegenüber zu erklären, daß nach ihrer Kenntnis seit dem Stichtag der zugrunde gelegten Bilanz bis zum Tag der Anmeldung keine Vermögensminderung eingetreten ist, die der Kapitalerhöhung entgegenstünde, wenn sie am Tag der Anmeldung beschlossen worden wäre.</w:t>
      </w:r>
    </w:p>
    <w:p>
      <w:r>
        <w:t>(2) Das Gericht darf den Beschluß nur eintragen, wenn die der Kapitalerhöhung zugrunde gelegte Bilanz auf einen höchstens acht Monate vor der Anmeldung liegenden Stichtag aufgestellt und eine Erklärung nach Absatz 1 Satz 2 abgegeben worden ist.</w:t>
      </w:r>
    </w:p>
    <w:p>
      <w:r>
        <w:t>(3) Das Gericht braucht nicht zu prüfen, ob die Bilanzen den gesetzlichen Vorschriften entsprechen.</w:t>
      </w:r>
    </w:p>
    <w:p>
      <w:r>
        <w:t>(4) Bei der Eintragung des Beschlusses ist anzugeben, daß es sich um eine Kapitalerhöhung aus Gesellschaftsmitteln handelt.</w:t>
      </w:r>
    </w:p>
    <w:p>
      <w:r>
        <w:t>(5) (weggefallen)</w:t>
      </w:r>
    </w:p>
    <w:p>
      <w:pPr>
        <w:pStyle w:val="Heading5"/>
      </w:pPr>
      <w:bookmarkStart w:id="266" w:name="b265"/>
      <w:r>
        <w:t>§ 211 Wirksamwerden der Kapitalerhöhung</w:t>
      </w:r>
      <w:r>
        <w:t xml:space="preserve"> </w:t>
      </w:r>
      <w:r>
        <w:rPr>
          <w:rStyle w:val="Suchmarke"/>
        </w:rPr>
        <w:t>#211#</w:t>
      </w:r>
      <w:bookmarkEnd w:id="266"/>
    </w:p>
    <w:p>
      <w:r>
        <w:t>(1) Mit der Eintragung des Beschlusses über die Erhöhung des Grundkapitals ist das Grundkapital erhöht.</w:t>
      </w:r>
    </w:p>
    <w:p>
      <w:r>
        <w:t>(2) (weggefallen)</w:t>
      </w:r>
    </w:p>
    <w:p>
      <w:pPr>
        <w:pStyle w:val="Heading5"/>
      </w:pPr>
      <w:bookmarkStart w:id="267" w:name="b266"/>
      <w:r>
        <w:t>§ 212 Aus der Kapitalerhöhung Berechtigte</w:t>
      </w:r>
      <w:r>
        <w:t xml:space="preserve"> </w:t>
      </w:r>
      <w:r>
        <w:rPr>
          <w:rStyle w:val="Suchmarke"/>
        </w:rPr>
        <w:t>#212#</w:t>
      </w:r>
      <w:bookmarkEnd w:id="267"/>
    </w:p>
    <w:p>
      <w:r>
        <w:rPr>
          <w:rStyle w:val="Satznummer"/>
        </w:rPr>
        <w:t>1</w:t>
      </w:r>
      <w:r>
        <w:t xml:space="preserve">Neue Aktien stehen den Aktionären im Verhältnis ihrer Anteile am bisherigen Grundkapital zu. </w:t>
      </w:r>
      <w:r>
        <w:rPr>
          <w:rStyle w:val="Satznummer"/>
        </w:rPr>
        <w:t>2</w:t>
      </w:r>
      <w:r>
        <w:t>Ein entgegenstehender Beschluß der Hauptversammlung ist nichtig.</w:t>
      </w:r>
    </w:p>
    <w:p>
      <w:pPr>
        <w:pStyle w:val="Heading5"/>
      </w:pPr>
      <w:bookmarkStart w:id="268" w:name="b267"/>
      <w:r>
        <w:t>§ 213 Teilrechte</w:t>
      </w:r>
      <w:r>
        <w:t xml:space="preserve"> </w:t>
      </w:r>
      <w:r>
        <w:rPr>
          <w:rStyle w:val="Suchmarke"/>
        </w:rPr>
        <w:t>#213#</w:t>
      </w:r>
      <w:bookmarkEnd w:id="268"/>
    </w:p>
    <w:p>
      <w:r>
        <w:t>(1) Führt die Kapitalerhöhung dazu, daß auf einen Anteil am bisherigen Grundkapital nur ein Teil einer neuen Aktie entfällt, so ist dieses Teilrecht selbständig veräußerlich und vererblich.</w:t>
      </w:r>
    </w:p>
    <w:p>
      <w:r>
        <w:t>(2) Die Rechte aus einer neuen Aktie einschließlich des Anspruchs auf Ausstellung einer Aktienurkunde können nur ausgeübt werden, wenn Teilrechte, die zusammen eine volle Aktie ergeben, in einer Hand vereinigt sind oder wenn sich mehrere Berechtigte, deren Teilrechte zusammen eine volle Aktie ergeben, zur Ausübung der Rechte zusammenschließen.</w:t>
      </w:r>
    </w:p>
    <w:p>
      <w:pPr>
        <w:pStyle w:val="Heading5"/>
      </w:pPr>
      <w:bookmarkStart w:id="269" w:name="b268"/>
      <w:r>
        <w:t>§ 214 Aufforderung an die Aktionäre</w:t>
      </w:r>
      <w:r>
        <w:t xml:space="preserve"> </w:t>
      </w:r>
      <w:r>
        <w:rPr>
          <w:rStyle w:val="Suchmarke"/>
        </w:rPr>
        <w:t>#214#</w:t>
      </w:r>
      <w:bookmarkEnd w:id="269"/>
    </w:p>
    <w:p>
      <w:r>
        <w:t xml:space="preserve">(1) </w:t>
      </w:r>
      <w:r>
        <w:rPr>
          <w:rStyle w:val="Satznummer"/>
        </w:rPr>
        <w:t>1</w:t>
      </w:r>
      <w:r>
        <w:t xml:space="preserve">Nach der Eintragung des Beschlusses über die Erhöhung des Grundkapitals durch Ausgabe neuer Aktien hat der Vorstand unverzüglich die Aktionäre aufzufordern, die neuen Aktien abzuholen. </w:t>
      </w:r>
      <w:r>
        <w:rPr>
          <w:rStyle w:val="Satznummer"/>
        </w:rPr>
        <w:t>2</w:t>
      </w:r>
      <w:r>
        <w:t xml:space="preserve">Die Aufforderung ist in den Gesellschaftsblättern bekanntzumachen und gemäß </w:t>
      </w:r>
      <w:hyperlink w:anchor="b75" w:history="1">
        <w:r>
          <w:rPr>
            <w:color w:val="0A3A8C"/>
            <w:u w:val="single"/>
          </w:rPr>
          <w:t xml:space="preserve">§ 67a</w:t>
        </w:r>
      </w:hyperlink>
      <w:r>
        <w:t xml:space="preserve"> zu übermitteln. </w:t>
      </w:r>
      <w:r>
        <w:rPr>
          <w:rStyle w:val="Satznummer"/>
        </w:rPr>
        <w:t>3</w:t>
      </w:r>
      <w:r>
        <w:t>In der Bekanntmachung ist anzugeben,</w:t>
      </w:r>
    </w:p>
    <w:p>
      <w:pPr>
        <w:tabs>
          <w:tab w:pos="567" w:val="left"/>
        </w:tabs>
        <w:ind w:left="567" w:hanging="567"/>
      </w:pPr>
      <w:r>
        <w:t>1.</w:t>
      </w:r>
      <w:r>
        <w:tab/>
      </w:r>
      <w:r>
        <w:t>um welchen Betrag das Grundkapital erhöht worden ist,</w:t>
      </w:r>
    </w:p>
    <w:p>
      <w:pPr>
        <w:tabs>
          <w:tab w:pos="567" w:val="left"/>
        </w:tabs>
        <w:ind w:left="567" w:hanging="567"/>
      </w:pPr>
      <w:r>
        <w:t>2.</w:t>
      </w:r>
      <w:r>
        <w:tab/>
      </w:r>
      <w:r>
        <w:t>in welchem Verhältnis auf die alten Aktien neue Aktien entfallen.</w:t>
      </w:r>
    </w:p>
    <w:p>
      <w:r>
        <w:rPr>
          <w:rStyle w:val="Satznummer"/>
        </w:rPr>
        <w:t>4</w:t>
      </w:r>
      <w:r>
        <w:t>In der Bekanntmachung ist ferner darauf hinzuweisen, daß die Gesellschaft berechtigt ist, Aktien, die nicht innerhalb eines Jahres seit der Bekanntmachung der Aufforderung abgeholt werden, nach dreimaliger Androhung für Rechnung der Beteiligten zu verkaufen.</w:t>
      </w:r>
    </w:p>
    <w:p>
      <w:r>
        <w:t xml:space="preserve">(2) </w:t>
      </w:r>
      <w:r>
        <w:rPr>
          <w:rStyle w:val="Satznummer"/>
        </w:rPr>
        <w:t>1</w:t>
      </w:r>
      <w:r>
        <w:t xml:space="preserve">Nach Ablauf eines Jahres seit der Bekanntmachung der Aufforderung hat die Gesellschaft den Verkauf der nicht abgeholten Aktien anzudrohen. </w:t>
      </w:r>
      <w:r>
        <w:rPr>
          <w:rStyle w:val="Satznummer"/>
        </w:rPr>
        <w:t>2</w:t>
      </w:r>
      <w:r>
        <w:t xml:space="preserve">Die Androhung ist dreimal in Abständen von mindestens einem Monat in den Gesellschaftsblättern bekanntzumachen. </w:t>
      </w:r>
      <w:r>
        <w:rPr>
          <w:rStyle w:val="Satznummer"/>
        </w:rPr>
        <w:t>3</w:t>
      </w:r>
      <w:r>
        <w:t>Die letzte Bekanntmachung muß vor dem Ablauf von achtzehn Monaten seit der Bekanntmachung der Aufforderung ergehen.</w:t>
      </w:r>
    </w:p>
    <w:p>
      <w:r>
        <w:t xml:space="preserve">(3) </w:t>
      </w:r>
      <w:r>
        <w:rPr>
          <w:rStyle w:val="Satznummer"/>
        </w:rPr>
        <w:t>1</w:t>
      </w:r>
      <w:r>
        <w:t xml:space="preserve">Nach Ablauf eines Jahres seit der letzten Bekanntmachung der Androhung hat die Gesellschaft die nicht abgeholten Aktien für Rechnung der Beteiligten zum Börsenpreis und beim Fehlen eines Börsenpreises durch öffentliche Versteigerung zu verkaufen. </w:t>
      </w:r>
      <w:r>
        <w:rPr>
          <w:rStyle w:val="Satznummer"/>
        </w:rPr>
        <w:t>2</w:t>
      </w:r>
      <w:hyperlink w:anchor="b283" w:history="1">
        <w:r>
          <w:rPr>
            <w:color w:val="0A3A8C"/>
            <w:u w:val="single"/>
          </w:rPr>
          <w:t xml:space="preserve">§ 226</w:t>
        </w:r>
      </w:hyperlink>
      <w:r>
        <w:t xml:space="preserve"> Abs. 3 Satz 2 bis 6 gilt sinngemäß.</w:t>
      </w:r>
    </w:p>
    <w:p>
      <w:r>
        <w:t xml:space="preserve">(4) </w:t>
      </w:r>
      <w:r>
        <w:rPr>
          <w:rStyle w:val="Satznummer"/>
        </w:rPr>
        <w:t>1</w:t>
      </w:r>
      <w:r>
        <w:t xml:space="preserve">Die Absätze 1 bis 3 gelten sinngemäß für Gesellschaften, die keine Aktienurkunden ausgegeben haben. </w:t>
      </w:r>
      <w:r>
        <w:rPr>
          <w:rStyle w:val="Satznummer"/>
        </w:rPr>
        <w:t>2</w:t>
      </w:r>
      <w:r>
        <w:t>Die Gesellschaften haben die Aktionäre aufzufordern, sich die neuen Aktien zuteilen zu lassen.</w:t>
      </w:r>
    </w:p>
    <w:p>
      <w:pPr>
        <w:pStyle w:val="Heading5"/>
      </w:pPr>
      <w:bookmarkStart w:id="270" w:name="b269"/>
      <w:r>
        <w:t>§ 215 Eigene Aktien. Teileingezahlte Aktien</w:t>
      </w:r>
      <w:r>
        <w:t xml:space="preserve"> </w:t>
      </w:r>
      <w:r>
        <w:rPr>
          <w:rStyle w:val="Suchmarke"/>
        </w:rPr>
        <w:t>#215#</w:t>
      </w:r>
      <w:bookmarkEnd w:id="270"/>
    </w:p>
    <w:p>
      <w:r>
        <w:t>(1) Eigene Aktien nehmen an der Erhöhung des Grundkapitals teil.</w:t>
      </w:r>
    </w:p>
    <w:p>
      <w:r>
        <w:t xml:space="preserve">(2) </w:t>
      </w:r>
      <w:r>
        <w:rPr>
          <w:rStyle w:val="Satznummer"/>
        </w:rPr>
        <w:t>1</w:t>
      </w:r>
      <w:r>
        <w:t xml:space="preserve">Teileingezahlte Aktien nehmen entsprechend ihrem Anteil am Grundkapital an der Erhöhung des Grundkapitals teil. </w:t>
      </w:r>
      <w:r>
        <w:rPr>
          <w:rStyle w:val="Satznummer"/>
        </w:rPr>
        <w:t>2</w:t>
      </w:r>
      <w:r>
        <w:t xml:space="preserve">Bei ihnen kann die Kapitalerhöhung nicht durch Ausgabe neuer Aktien ausgeführt werden, bei Nennbetragsaktien wird deren Nennbetrag erhöht. </w:t>
      </w:r>
      <w:r>
        <w:rPr>
          <w:rStyle w:val="Satznummer"/>
        </w:rPr>
        <w:t>3</w:t>
      </w:r>
      <w:r>
        <w:t xml:space="preserve">Sind neben teileingezahlten Aktien volleingezahlte Aktien vorhanden, so kann bei volleingezahlten Nennbetragsaktien die Kapitalerhöhung durch Erhöhung des Nennbetrags der Aktien und durch Ausgabe neuer Aktien ausgeführt werden; der Beschluß über die Erhöhung des Grundkapitals muß die Art der Erhöhung angeben. </w:t>
      </w:r>
      <w:r>
        <w:rPr>
          <w:rStyle w:val="Satznummer"/>
        </w:rPr>
        <w:t>4</w:t>
      </w:r>
      <w:r>
        <w:t>Soweit die Kapitalerhöhung durch Erhöhung des Nennbetrags der Aktien ausgeführt wird, ist sie so zu bemessen, daß durch sie auf keine Aktie Beträge entfallen, die durch eine Erhöhung des Nennbetrags der Aktien nicht gedeckt werden können.</w:t>
      </w:r>
    </w:p>
    <w:p>
      <w:pPr>
        <w:pStyle w:val="Heading5"/>
      </w:pPr>
      <w:bookmarkStart w:id="271" w:name="b270"/>
      <w:r>
        <w:t>§ 216 Wahrung der Rechte der Aktionäre und Dritter</w:t>
      </w:r>
      <w:r>
        <w:t xml:space="preserve"> </w:t>
      </w:r>
      <w:r>
        <w:rPr>
          <w:rStyle w:val="Suchmarke"/>
        </w:rPr>
        <w:t>#216#</w:t>
      </w:r>
      <w:bookmarkEnd w:id="271"/>
    </w:p>
    <w:p>
      <w:r>
        <w:t>(1) Das Verhältnis der mit den Aktien verbundenen Rechte zueinander wird durch die Kapitalerhöhung nicht berührt.</w:t>
      </w:r>
    </w:p>
    <w:p>
      <w:r>
        <w:t xml:space="preserve">(2) </w:t>
      </w:r>
      <w:r>
        <w:rPr>
          <w:rStyle w:val="Satznummer"/>
        </w:rPr>
        <w:t>1</w:t>
      </w:r>
      <w:r>
        <w:t xml:space="preserve">Soweit sich einzelne Rechte teileingezahlter Aktien, insbesondere die Beteiligung am Gewinn oder das Stimmrecht, nach der auf die Aktie geleisteten Einlage bestimmen, stehen diese Rechte den Aktionären bis zur Leistung der noch ausstehenden Einlagen nur nach der Höhe der geleisteten Einlage, erhöht um den auf den Nennbetrag des Grundkapitals berechneten Hundertsatz der Erhöhung des Grundkapitals zu. </w:t>
      </w:r>
      <w:r>
        <w:rPr>
          <w:rStyle w:val="Satznummer"/>
        </w:rPr>
        <w:t>2</w:t>
      </w:r>
      <w:r>
        <w:t xml:space="preserve">Werden weitere Einzahlungen geleistet, so erweitern sich diese Rechte entsprechend. </w:t>
      </w:r>
      <w:r>
        <w:rPr>
          <w:rStyle w:val="Satznummer"/>
        </w:rPr>
        <w:t>3</w:t>
      </w:r>
      <w:r>
        <w:t xml:space="preserve">Im Fall des </w:t>
      </w:r>
      <w:hyperlink w:anchor="b346" w:history="1">
        <w:r>
          <w:rPr>
            <w:color w:val="0A3A8C"/>
            <w:u w:val="single"/>
          </w:rPr>
          <w:t xml:space="preserve">§ 271</w:t>
        </w:r>
      </w:hyperlink>
      <w:r>
        <w:t xml:space="preserve"> Abs. 3 gelten die Erhöhungsbeträge als voll eingezahlt.</w:t>
      </w:r>
    </w:p>
    <w:p>
      <w:r>
        <w:t xml:space="preserve">(3) </w:t>
      </w:r>
      <w:r>
        <w:rPr>
          <w:rStyle w:val="Satznummer"/>
        </w:rPr>
        <w:t>1</w:t>
      </w:r>
      <w:r>
        <w:t xml:space="preserve">Der wirtschaftliche Inhalt vertraglicher Beziehungen der Gesellschaft zu Dritten, die von der Gewinnausschüttung der Gesellschaft, dem Nennbetrag oder Wert ihrer Aktien oder ihres Grundkapitals oder sonst von den bisherigen Kapital- oder Gewinnverhältnissen abhängen, wird durch die Kapitalerhöhung nicht berührt. </w:t>
      </w:r>
      <w:r>
        <w:rPr>
          <w:rStyle w:val="Satznummer"/>
        </w:rPr>
        <w:t>2</w:t>
      </w:r>
      <w:r>
        <w:t>Gleiches gilt für Nebenverpflichtungen der Aktionäre.</w:t>
      </w:r>
    </w:p>
    <w:p>
      <w:pPr>
        <w:pStyle w:val="Heading5"/>
      </w:pPr>
      <w:bookmarkStart w:id="272" w:name="b271"/>
      <w:r>
        <w:t>§ 217 Beginn der Gewinnbeteiligung</w:t>
      </w:r>
      <w:r>
        <w:t xml:space="preserve"> </w:t>
      </w:r>
      <w:r>
        <w:rPr>
          <w:rStyle w:val="Suchmarke"/>
        </w:rPr>
        <w:t>#217#</w:t>
      </w:r>
      <w:bookmarkEnd w:id="272"/>
    </w:p>
    <w:p>
      <w:r>
        <w:t>(1) Neue Aktien nehmen, wenn nichts anderes bestimmt ist, am Gewinn des ganzen Geschäftsjahrs teil, in dem die Erhöhung des Grundkapitals beschlossen worden ist.</w:t>
      </w:r>
    </w:p>
    <w:p>
      <w:r>
        <w:t xml:space="preserve">(2) </w:t>
      </w:r>
      <w:r>
        <w:rPr>
          <w:rStyle w:val="Satznummer"/>
        </w:rPr>
        <w:t>1</w:t>
      </w:r>
      <w:r>
        <w:t xml:space="preserve">Im Beschluß über die Erhöhung des Grundkapitals kann bestimmt werden, daß die neuen Aktien bereits am Gewinn des letzten vor der Beschlußfassung über die Kapitalerhöhung abgelaufenen Geschäftsjahrs teilnehmen. </w:t>
      </w:r>
      <w:r>
        <w:rPr>
          <w:rStyle w:val="Satznummer"/>
        </w:rPr>
        <w:t>2</w:t>
      </w:r>
      <w:r>
        <w:t xml:space="preserve">In diesem Fall ist die Erhöhung des Grundkapitals zu beschließen, bevor über die Verwendung des Bilanzgewinns des letzten vor der Beschlußfassung abgelaufenen Geschäftsjahrs Beschluß gefaßt ist. </w:t>
      </w:r>
      <w:r>
        <w:rPr>
          <w:rStyle w:val="Satznummer"/>
        </w:rPr>
        <w:t>3</w:t>
      </w:r>
      <w:r>
        <w:t xml:space="preserve">Der Beschluß über die Verwendung des Bilanzgewinns des letzten vor der Beschlußfassung über die Kapitalerhöhung abgelaufenen Geschäftsjahrs wird erst wirksam, wenn das Grundkapital erhöht ist. </w:t>
      </w:r>
      <w:r>
        <w:rPr>
          <w:rStyle w:val="Satznummer"/>
        </w:rPr>
        <w:t>4</w:t>
      </w:r>
      <w:r>
        <w:t xml:space="preserve">Der Beschluß über die Erhöhung des Grundkapitals und der Beschluß über die Verwendung des Bilanzgewinns des letzten vor der Beschlußfassung über die Kapitalerhöhung abgelaufenen Geschäftsjahrs sind nichtig, wenn der Beschluß über die Kapitalerhöhung nicht binnen drei Monaten nach der Beschlußfassung in das Handelsregister eingetragen worden ist. </w:t>
      </w:r>
      <w:r>
        <w:rPr>
          <w:rStyle w:val="Satznummer"/>
        </w:rPr>
        <w:t>5</w:t>
      </w:r>
      <w:r>
        <w:t>Der Lauf der Frist ist gehemmt, solange eine Anfechtungs- oder Nichtigkeitsklage rechtshängig ist.</w:t>
      </w:r>
    </w:p>
    <w:p>
      <w:pPr>
        <w:pStyle w:val="Heading5"/>
      </w:pPr>
      <w:bookmarkStart w:id="273" w:name="b272"/>
      <w:r>
        <w:t>§ 218 Bedingtes Kapital</w:t>
      </w:r>
      <w:r>
        <w:t xml:space="preserve"> </w:t>
      </w:r>
      <w:r>
        <w:rPr>
          <w:rStyle w:val="Suchmarke"/>
        </w:rPr>
        <w:t>#218#</w:t>
      </w:r>
      <w:bookmarkEnd w:id="273"/>
    </w:p>
    <w:p>
      <w:r>
        <w:rPr>
          <w:rStyle w:val="Satznummer"/>
        </w:rPr>
        <w:t>1</w:t>
      </w:r>
      <w:r>
        <w:t xml:space="preserve">Bedingtes Kapital erhöht sich im gleichen Verhältnis wie das Grundkapital. </w:t>
      </w:r>
      <w:r>
        <w:rPr>
          <w:rStyle w:val="Satznummer"/>
        </w:rPr>
        <w:t>2</w:t>
      </w:r>
      <w:r>
        <w:t>Ist das bedingte Kapital zur Gewährung von Umtauschrechten an Gläubiger von Wandelschuldverschreibungen beschlossen worden, so ist zur Deckung des Unterschieds zwischen dem Ausgabebetrag der Schuldverschreibungen und dem höheren geringsten Ausgabebetrag der für sie zu gewährenden Bezugsaktien insgesamt eine Sonderrücklage zu bilden, soweit nicht Zuzahlungen der Umtauschberechtigten vereinbart sind.</w:t>
      </w:r>
    </w:p>
    <w:p>
      <w:pPr>
        <w:pStyle w:val="Heading5"/>
      </w:pPr>
      <w:bookmarkStart w:id="274" w:name="b273"/>
      <w:r>
        <w:t>§ 219 Verbotene Ausgabe von Aktien und Zwischenscheinen</w:t>
      </w:r>
      <w:r>
        <w:t xml:space="preserve"> </w:t>
      </w:r>
      <w:r>
        <w:rPr>
          <w:rStyle w:val="Suchmarke"/>
        </w:rPr>
        <w:t>#219#</w:t>
      </w:r>
      <w:bookmarkEnd w:id="274"/>
    </w:p>
    <w:p>
      <w:r>
        <w:t>Vor der Eintragung des Beschlusses über die Erhöhung des Grundkapitals in das Handelsregister dürfen neue Aktien und Zwischenscheine nicht ausgegeben werden.</w:t>
      </w:r>
    </w:p>
    <w:p>
      <w:pPr>
        <w:pStyle w:val="Heading5"/>
      </w:pPr>
      <w:bookmarkStart w:id="275" w:name="b274"/>
      <w:r>
        <w:t>§ 220 Wertansätze</w:t>
      </w:r>
      <w:r>
        <w:t xml:space="preserve"> </w:t>
      </w:r>
      <w:r>
        <w:rPr>
          <w:rStyle w:val="Suchmarke"/>
        </w:rPr>
        <w:t>#220#</w:t>
      </w:r>
      <w:bookmarkEnd w:id="275"/>
    </w:p>
    <w:p>
      <w:r>
        <w:rPr>
          <w:rStyle w:val="Satznummer"/>
        </w:rPr>
        <w:t>1</w:t>
      </w:r>
      <w:r>
        <w:t xml:space="preserve">Als Anschaffungskosten der vor der Erhöhung des Grundkapitals erworbenen Aktien und der auf sie entfallenen neuen Aktien gelten die Beträge, die sich für die einzelnen Aktien ergeben, wenn die Anschaffungskosten der vor der Erhöhung des Grundkapitals erworbenen Aktien auf diese und auf die auf sie entfallenen neuen Aktien nach dem Verhältnis der Anteile am Grundkapital verteilt werden. </w:t>
      </w:r>
      <w:r>
        <w:rPr>
          <w:rStyle w:val="Satznummer"/>
        </w:rPr>
        <w:t>2</w:t>
      </w:r>
      <w:r>
        <w:t>Der Zuwachs an Aktien ist nicht als Zugang auszuweisen.</w:t>
      </w:r>
    </w:p>
    <w:p>
      <w:pPr>
        <w:pStyle w:val="Heading4"/>
      </w:pPr>
      <w:bookmarkStart w:id="276" w:name="b275"/>
      <w:r>
        <w:t>Fünfter Unterabschnitt Wandelschuldverschreibungen. Gewinnschuldverschreibungen</w:t>
      </w:r>
      <w:bookmarkEnd w:id="276"/>
    </w:p>
    <w:p>
      <w:pPr>
        <w:pStyle w:val="Heading5"/>
      </w:pPr>
      <w:bookmarkStart w:id="277" w:name="b276"/>
      <w:r>
        <w:t>§ 221</w:t>
      </w:r>
      <w:r>
        <w:t xml:space="preserve"> </w:t>
      </w:r>
      <w:r>
        <w:rPr>
          <w:rStyle w:val="Suchmarke"/>
        </w:rPr>
        <w:t>#221#</w:t>
      </w:r>
      <w:bookmarkEnd w:id="277"/>
    </w:p>
    <w:p>
      <w:r>
        <w:t xml:space="preserve">(1) </w:t>
      </w:r>
      <w:r>
        <w:rPr>
          <w:rStyle w:val="Satznummer"/>
        </w:rPr>
        <w:t>1</w:t>
      </w:r>
      <w:r>
        <w:t xml:space="preserve">Schuldverschreibungen, bei denen den Gläubigern oder der Gesellschaft ein Umtausch- oder Bezugsrecht auf Aktien eingeräumt wird (Wandelschuldverschreibungen), und Schuldverschreibungen, bei denen die Rechte der Gläubiger mit Gewinnanteilen von Aktionären in Verbindung gebracht werden (Gewinnschuldverschreibungen), dürfen nur auf Grund eines Beschlusses der Hauptversammlung ausgegeben werden. </w:t>
      </w:r>
      <w:r>
        <w:rPr>
          <w:rStyle w:val="Satznummer"/>
        </w:rPr>
        <w:t>2</w:t>
      </w:r>
      <w:r>
        <w:t xml:space="preserve">Der Beschluß bedarf einer Mehrheit, die mindestens drei Viertel des bei der Beschlußfassung vertretenen Grundkapitals umfaßt. </w:t>
      </w:r>
      <w:r>
        <w:rPr>
          <w:rStyle w:val="Satznummer"/>
        </w:rPr>
        <w:t>3</w:t>
      </w:r>
      <w:r>
        <w:t xml:space="preserve">Die Satzung kann eine andere Kapitalmehrheit und weitere Erfordernisse bestimmen. </w:t>
      </w:r>
      <w:r>
        <w:rPr>
          <w:rStyle w:val="Satznummer"/>
        </w:rPr>
        <w:t>4</w:t>
      </w:r>
      <w:hyperlink w:anchor="b232" w:history="1">
        <w:r>
          <w:rPr>
            <w:color w:val="0A3A8C"/>
            <w:u w:val="single"/>
          </w:rPr>
          <w:t xml:space="preserve">§ 182</w:t>
        </w:r>
      </w:hyperlink>
      <w:r>
        <w:t xml:space="preserve"> Abs. 2 gilt.</w:t>
      </w:r>
    </w:p>
    <w:p>
      <w:r>
        <w:t xml:space="preserve">(2) </w:t>
      </w:r>
      <w:r>
        <w:rPr>
          <w:rStyle w:val="Satznummer"/>
        </w:rPr>
        <w:t>1</w:t>
      </w:r>
      <w:r>
        <w:t xml:space="preserve">Eine Ermächtigung des Vorstands zur Ausgabe von Wandelschuldverschreibungen kann höchstens für fünf Jahre erteilt werden. </w:t>
      </w:r>
      <w:r>
        <w:rPr>
          <w:rStyle w:val="Satznummer"/>
        </w:rPr>
        <w:t>2</w:t>
      </w:r>
      <w:r>
        <w:t xml:space="preserve">Der Vorstand und der Vorsitzende des Aufsichtsrats haben den Beschluß über die Ausgabe der Wandelschuldverschreibungen sowie eine Erklärung über deren Ausgabe beim Handelsregister zu hinterlegen. </w:t>
      </w:r>
      <w:r>
        <w:rPr>
          <w:rStyle w:val="Satznummer"/>
        </w:rPr>
        <w:t>3</w:t>
      </w:r>
      <w:r>
        <w:t>Ein Hinweis auf den Beschluß und die Erklärung ist in den Gesellschaftsblättern bekanntzumachen.</w:t>
      </w:r>
    </w:p>
    <w:p>
      <w:r>
        <w:t>(3) Absatz 1 gilt sinngemäß für die Gewährung von Genußrechten.</w:t>
      </w:r>
    </w:p>
    <w:p>
      <w:r>
        <w:t xml:space="preserve">(4) </w:t>
      </w:r>
      <w:r>
        <w:rPr>
          <w:rStyle w:val="Satznummer"/>
        </w:rPr>
        <w:t>1</w:t>
      </w:r>
      <w:r>
        <w:t xml:space="preserve">Auf Wandelschuldverschreibungen, Gewinnschuldverschreibungen und Genußrechte haben die Aktionäre ein Bezugsrecht. </w:t>
      </w:r>
      <w:r>
        <w:rPr>
          <w:rStyle w:val="Satznummer"/>
        </w:rPr>
        <w:t>2</w:t>
      </w:r>
      <w:r>
        <w:t xml:space="preserve">Die </w:t>
      </w:r>
      <w:hyperlink w:anchor="b237" w:history="1">
        <w:r>
          <w:rPr>
            <w:color w:val="0A3A8C"/>
            <w:u w:val="single"/>
          </w:rPr>
          <w:t xml:space="preserve">§§ 186</w:t>
        </w:r>
      </w:hyperlink>
      <w:r>
        <w:t xml:space="preserve"> und </w:t>
      </w:r>
      <w:hyperlink w:anchor="b245" w:history="1">
        <w:r>
          <w:rPr>
            <w:color w:val="0A3A8C"/>
            <w:u w:val="single"/>
          </w:rPr>
          <w:t xml:space="preserve">193</w:t>
        </w:r>
      </w:hyperlink>
      <w:r>
        <w:t xml:space="preserve"> Abs. 2 Nr. 4 gelten sinngemäß.</w:t>
      </w:r>
    </w:p>
    <w:p>
      <w:pPr>
        <w:pStyle w:val="Heading3"/>
      </w:pPr>
      <w:bookmarkStart w:id="278" w:name="b277"/>
      <w:r>
        <w:t>Dritter Abschnitt Maßnahmen der Kapitalherabsetzung</w:t>
      </w:r>
      <w:bookmarkEnd w:id="278"/>
    </w:p>
    <w:p>
      <w:pPr>
        <w:pStyle w:val="Heading4"/>
      </w:pPr>
      <w:bookmarkStart w:id="279" w:name="b278"/>
      <w:r>
        <w:t>Erster Unterabschnitt Ordentliche Kapitalherabsetzung</w:t>
      </w:r>
      <w:bookmarkEnd w:id="279"/>
    </w:p>
    <w:p>
      <w:pPr>
        <w:pStyle w:val="Heading5"/>
      </w:pPr>
      <w:bookmarkStart w:id="280" w:name="b279"/>
      <w:r>
        <w:t>§ 222 Voraussetzungen</w:t>
      </w:r>
      <w:r>
        <w:t xml:space="preserve"> </w:t>
      </w:r>
      <w:r>
        <w:rPr>
          <w:rStyle w:val="Suchmarke"/>
        </w:rPr>
        <w:t>#222#</w:t>
      </w:r>
      <w:bookmarkEnd w:id="280"/>
    </w:p>
    <w:p>
      <w:r>
        <w:t xml:space="preserve">(1) </w:t>
      </w:r>
      <w:r>
        <w:rPr>
          <w:rStyle w:val="Satznummer"/>
        </w:rPr>
        <w:t>1</w:t>
      </w:r>
      <w:r>
        <w:t xml:space="preserve">Eine Herabsetzung des Grundkapitals kann nur mit einer Mehrheit beschlossen werden, die mindestens drei Viertel des bei der Beschlußfassung vertretenen Grundkapitals umfaßt. </w:t>
      </w:r>
      <w:r>
        <w:rPr>
          <w:rStyle w:val="Satznummer"/>
        </w:rPr>
        <w:t>2</w:t>
      </w:r>
      <w:r>
        <w:t>Die Satzung kann eine größere Kapitalmehrheit und weitere Erfordernisse bestimmen.</w:t>
      </w:r>
    </w:p>
    <w:p>
      <w:r>
        <w:t xml:space="preserve">(2) </w:t>
      </w:r>
      <w:r>
        <w:rPr>
          <w:rStyle w:val="Satznummer"/>
        </w:rPr>
        <w:t>1</w:t>
      </w:r>
      <w:r>
        <w:t xml:space="preserve">Sind mehrere Gattungen von stimmberechtigten Aktien vorhanden, so bedarf der Beschluß der Hauptversammlung zu seiner Wirksamkeit der Zustimmung der Aktionäre jeder Gattung. </w:t>
      </w:r>
      <w:r>
        <w:rPr>
          <w:rStyle w:val="Satznummer"/>
        </w:rPr>
        <w:t>2</w:t>
      </w:r>
      <w:r>
        <w:t xml:space="preserve">Über die Zustimmung haben die Aktionäre jeder Gattung einen Sonderbeschluß zu fassen. </w:t>
      </w:r>
      <w:r>
        <w:rPr>
          <w:rStyle w:val="Satznummer"/>
        </w:rPr>
        <w:t>3</w:t>
      </w:r>
      <w:r>
        <w:t>Für diesen gilt Absatz 1.</w:t>
      </w:r>
    </w:p>
    <w:p>
      <w:r>
        <w:t>(3) In dem Beschluß ist festzusetzen, zu welchem Zweck die Herabsetzung stattfindet, namentlich ob Teile des Grundkapitals zurückgezahlt werden sollen.</w:t>
      </w:r>
    </w:p>
    <w:p>
      <w:r>
        <w:t xml:space="preserve">(4) </w:t>
      </w:r>
      <w:r>
        <w:rPr>
          <w:rStyle w:val="Satznummer"/>
        </w:rPr>
        <w:t>1</w:t>
      </w:r>
      <w:r>
        <w:t xml:space="preserve">Die Herabsetzung des Grundkapitals erfordert bei Gesellschaften mit Nennbetragsaktien die Herabsetzung des Nennbetrags der Aktien. </w:t>
      </w:r>
      <w:r>
        <w:rPr>
          <w:rStyle w:val="Satznummer"/>
        </w:rPr>
        <w:t>2</w:t>
      </w:r>
      <w:r>
        <w:t xml:space="preserve">Soweit der auf die einzelne Aktie entfallende anteilige Betrag des herabgesetzten Grundkapitals den Mindestbetrag nach </w:t>
      </w:r>
      <w:hyperlink w:anchor="b10" w:history="1">
        <w:r>
          <w:rPr>
            <w:color w:val="0A3A8C"/>
            <w:u w:val="single"/>
          </w:rPr>
          <w:t xml:space="preserve">§ 8</w:t>
        </w:r>
      </w:hyperlink>
      <w:r>
        <w:t xml:space="preserve"> Abs. 2 Satz 1 oder Abs. 3 Satz 3 unterschreiten würde, erfolgt die Herabsetzung durch Zusammenlegung der Aktien. </w:t>
      </w:r>
      <w:r>
        <w:rPr>
          <w:rStyle w:val="Satznummer"/>
        </w:rPr>
        <w:t>3</w:t>
      </w:r>
      <w:r>
        <w:t>Der Beschluß muß die Art der Herabsetzung angeben.</w:t>
      </w:r>
    </w:p>
    <w:p>
      <w:pPr>
        <w:pStyle w:val="Heading5"/>
      </w:pPr>
      <w:bookmarkStart w:id="281" w:name="b280"/>
      <w:r>
        <w:t>§ 223 Anmeldung des Beschlusses</w:t>
      </w:r>
      <w:r>
        <w:t xml:space="preserve"> </w:t>
      </w:r>
      <w:r>
        <w:rPr>
          <w:rStyle w:val="Suchmarke"/>
        </w:rPr>
        <w:t>#223#</w:t>
      </w:r>
      <w:bookmarkEnd w:id="281"/>
    </w:p>
    <w:p>
      <w:r>
        <w:t>Der Vorstand und der Vorsitzende des Aufsichtsrats haben den Beschluß über die Herabsetzung des Grundkapitals zur Eintragung in das Handelsregister anzumelden.</w:t>
      </w:r>
    </w:p>
    <w:p>
      <w:pPr>
        <w:pStyle w:val="Heading5"/>
      </w:pPr>
      <w:bookmarkStart w:id="282" w:name="b281"/>
      <w:r>
        <w:t>§ 224 Wirksamwerden der Kapitalherabsetzung</w:t>
      </w:r>
      <w:r>
        <w:t xml:space="preserve"> </w:t>
      </w:r>
      <w:r>
        <w:rPr>
          <w:rStyle w:val="Suchmarke"/>
        </w:rPr>
        <w:t>#224#</w:t>
      </w:r>
      <w:bookmarkEnd w:id="282"/>
    </w:p>
    <w:p>
      <w:r>
        <w:t>Mit der Eintragung des Beschlusses über die Herabsetzung des Grundkapitals ist das Grundkapital herabgesetzt.</w:t>
      </w:r>
    </w:p>
    <w:p>
      <w:pPr>
        <w:pStyle w:val="Heading5"/>
      </w:pPr>
      <w:bookmarkStart w:id="283" w:name="b282"/>
      <w:r>
        <w:t>§ 225 Gläubigerschutz</w:t>
      </w:r>
      <w:r>
        <w:t xml:space="preserve"> </w:t>
      </w:r>
      <w:r>
        <w:rPr>
          <w:rStyle w:val="Suchmarke"/>
        </w:rPr>
        <w:t>#225#</w:t>
      </w:r>
      <w:bookmarkEnd w:id="283"/>
    </w:p>
    <w:p>
      <w:r>
        <w:t xml:space="preserve">(1) </w:t>
      </w:r>
      <w:r>
        <w:rPr>
          <w:rStyle w:val="Satznummer"/>
        </w:rPr>
        <w:t>1</w:t>
      </w:r>
      <w:r>
        <w:t xml:space="preserve">Den Gläubigern, deren Forderungen begründet worden sind, bevor die Eintragung des Beschlusses bekanntgemacht worden ist, ist, wenn sie sich binnen sechs Monaten nach der Bekanntmachung zu diesem Zweck melden, Sicherheit zu leisten, soweit sie nicht Befriedigung verlangen können. </w:t>
      </w:r>
      <w:r>
        <w:rPr>
          <w:rStyle w:val="Satznummer"/>
        </w:rPr>
        <w:t>2</w:t>
      </w:r>
      <w:r>
        <w:t xml:space="preserve">Die Gläubiger sind in einer Bekanntmachung zu der Eintragung auf dieses Recht hinzuweisen. </w:t>
      </w:r>
      <w:r>
        <w:rPr>
          <w:rStyle w:val="Satznummer"/>
        </w:rPr>
        <w:t>3</w:t>
      </w:r>
      <w:r>
        <w:t>Das Recht, Sicherheitsleistung zu verlangen, steht Gläubigern nicht zu, die im Fall des Insolvenzverfahrens ein Recht auf vorzugsweise Befriedigung aus einer Deckungsmasse haben, die nach gesetzlicher Vorschrift zu ihrem Schutz errichtet und staatlich überwacht ist.</w:t>
      </w:r>
    </w:p>
    <w:p>
      <w:r>
        <w:t xml:space="preserve">(2) </w:t>
      </w:r>
      <w:r>
        <w:rPr>
          <w:rStyle w:val="Satznummer"/>
        </w:rPr>
        <w:t>1</w:t>
      </w:r>
      <w:r>
        <w:t xml:space="preserve">Zahlungen an die Aktionäre dürfen auf Grund der Herabsetzung des Grundkapitals erst geleistet werden, nachdem seit der Bekanntmachung der Eintragung sechs Monate verstrichen sind und nachdem den Gläubigern, die sich rechtzeitig gemeldet haben, Befriedigung oder Sicherheit gewährt worden ist. </w:t>
      </w:r>
      <w:r>
        <w:rPr>
          <w:rStyle w:val="Satznummer"/>
        </w:rPr>
        <w:t>2</w:t>
      </w:r>
      <w:r>
        <w:t>Auch eine Befreiung der Aktionäre von der Verpflichtung zur Leistung von Einlagen wird nicht vor dem bezeichneten Zeitpunkt und nicht vor Befriedigung oder Sicherstellung der Gläubiger wirksam, die sich rechtzeitig gemeldet haben.</w:t>
      </w:r>
    </w:p>
    <w:p>
      <w:r>
        <w:t>(3) Das Recht der Gläubiger, Sicherheitsleistung zu verlangen, ist unabhängig davon, ob Zahlungen an die Aktionäre auf Grund der Herabsetzung des Grundkapitals geleistet werden.</w:t>
      </w:r>
    </w:p>
    <w:p>
      <w:pPr>
        <w:pStyle w:val="Heading5"/>
      </w:pPr>
      <w:bookmarkStart w:id="284" w:name="b283"/>
      <w:r>
        <w:t>§ 226 Kraftloserklärung von Aktien</w:t>
      </w:r>
      <w:r>
        <w:t xml:space="preserve"> </w:t>
      </w:r>
      <w:r>
        <w:rPr>
          <w:rStyle w:val="Suchmarke"/>
        </w:rPr>
        <w:t>#226#</w:t>
      </w:r>
      <w:bookmarkEnd w:id="284"/>
    </w:p>
    <w:p>
      <w:r>
        <w:t xml:space="preserve">(1) </w:t>
      </w:r>
      <w:r>
        <w:rPr>
          <w:rStyle w:val="Satznummer"/>
        </w:rPr>
        <w:t>1</w:t>
      </w:r>
      <w:r>
        <w:t xml:space="preserve">Sollen zur Durchführung der Herabsetzung des Grundkapitals Aktien durch Umtausch, Abstempelung oder durch ein ähnliches Verfahren zusammengelegt werden, so kann die Gesellschaft die Aktien für kraftlos erklären, die trotz Aufforderung nicht bei ihr eingereicht worden sind. </w:t>
      </w:r>
      <w:r>
        <w:rPr>
          <w:rStyle w:val="Satznummer"/>
        </w:rPr>
        <w:t>2</w:t>
      </w:r>
      <w:r>
        <w:t>Gleiches gilt für eingereichte Aktien, welche die zum Ersatz durch neue Aktien nötige Zahl nicht erreichen und der Gesellschaft nicht zur Verwertung für Rechnung der Beteiligten zur Verfügung gestellt sind.</w:t>
      </w:r>
    </w:p>
    <w:p>
      <w:r>
        <w:t xml:space="preserve">(2) </w:t>
      </w:r>
      <w:r>
        <w:rPr>
          <w:rStyle w:val="Satznummer"/>
        </w:rPr>
        <w:t>1</w:t>
      </w:r>
      <w:r>
        <w:t xml:space="preserve">Die Aufforderung, die Aktien einzureichen, hat die Kraftloserklärung anzudrohen. </w:t>
      </w:r>
      <w:r>
        <w:rPr>
          <w:rStyle w:val="Satznummer"/>
        </w:rPr>
        <w:t>2</w:t>
      </w:r>
      <w:r>
        <w:t xml:space="preserve">Die Kraftloserklärung kann nur erfolgen, wenn die Aufforderung in der in </w:t>
      </w:r>
      <w:hyperlink w:anchor="b71" w:history="1">
        <w:r>
          <w:rPr>
            <w:color w:val="0A3A8C"/>
            <w:u w:val="single"/>
          </w:rPr>
          <w:t xml:space="preserve">§ 64</w:t>
        </w:r>
      </w:hyperlink>
      <w:r>
        <w:t xml:space="preserve"> Abs. 2 für die Nachfrist vorgeschriebenen Weise bekanntgemacht worden ist. </w:t>
      </w:r>
      <w:r>
        <w:rPr>
          <w:rStyle w:val="Satznummer"/>
        </w:rPr>
        <w:t>3</w:t>
      </w:r>
      <w:r>
        <w:t xml:space="preserve">Die Kraftloserklärung geschieht durch Bekanntmachung in den Gesellschaftsblättern. </w:t>
      </w:r>
      <w:r>
        <w:rPr>
          <w:rStyle w:val="Satznummer"/>
        </w:rPr>
        <w:t>4</w:t>
      </w:r>
      <w:r>
        <w:t>In der Bekanntmachung sind die für kraftlos erklärten Aktien so zu bezeichnen, daß sich aus der Bekanntmachung ohne weiteres ergibt, ob eine Aktie für kraftlos erklärt ist.</w:t>
      </w:r>
    </w:p>
    <w:p>
      <w:r>
        <w:t xml:space="preserve">(3) </w:t>
      </w:r>
      <w:r>
        <w:rPr>
          <w:rStyle w:val="Satznummer"/>
        </w:rPr>
        <w:t>1</w:t>
      </w:r>
      <w:r>
        <w:t xml:space="preserve">Die neuen Aktien, die an Stelle der für kraftlos erklärten Aktien auszugeben sind, hat die Gesellschaft unverzüglich für Rechnung der Beteiligten zum Börsenpreis und beim Fehlen eines Börsenpreises durch öffentliche Versteigerung zu verkaufen. </w:t>
      </w:r>
      <w:r>
        <w:rPr>
          <w:rStyle w:val="Satznummer"/>
        </w:rPr>
        <w:t>2</w:t>
      </w:r>
      <w:r>
        <w:t xml:space="preserve">Ist von der Versteigerung am Sitz der Gesellschaft kein angemessener Erfolg zu erwarten, so sind die Aktien an einem geeigneten Ort zu verkaufen. </w:t>
      </w:r>
      <w:r>
        <w:rPr>
          <w:rStyle w:val="Satznummer"/>
        </w:rPr>
        <w:t>3</w:t>
      </w:r>
      <w:r>
        <w:t xml:space="preserve">Zeit, Ort und Gegenstand der Versteigerung sind öffentlich bekanntzumachen. </w:t>
      </w:r>
      <w:r>
        <w:rPr>
          <w:rStyle w:val="Satznummer"/>
        </w:rPr>
        <w:t>4</w:t>
      </w:r>
      <w:r>
        <w:t xml:space="preserve">Die Beteiligten sind besonders zu benachrichtigen; die Benachrichtigung kann unterbleiben, wenn sie untunlich ist. </w:t>
      </w:r>
      <w:r>
        <w:rPr>
          <w:rStyle w:val="Satznummer"/>
        </w:rPr>
        <w:t>5</w:t>
      </w:r>
      <w:r>
        <w:t xml:space="preserve">Bekanntmachung und Benachrichtigung müssen mindestens zwei Wochen vor der Versteigerung ergehen. </w:t>
      </w:r>
      <w:r>
        <w:rPr>
          <w:rStyle w:val="Satznummer"/>
        </w:rPr>
        <w:t>6</w:t>
      </w:r>
      <w:r>
        <w:t>Der Erlös ist den Beteiligten auszuzahlen oder, wenn ein Recht zur Hinterlegung besteht, zu hinterlegen.</w:t>
      </w:r>
    </w:p>
    <w:p>
      <w:pPr>
        <w:pStyle w:val="Heading5"/>
      </w:pPr>
      <w:bookmarkStart w:id="285" w:name="b284"/>
      <w:r>
        <w:t>§ 227 Anmeldung der Durchführung</w:t>
      </w:r>
      <w:r>
        <w:t xml:space="preserve"> </w:t>
      </w:r>
      <w:r>
        <w:rPr>
          <w:rStyle w:val="Suchmarke"/>
        </w:rPr>
        <w:t>#227#</w:t>
      </w:r>
      <w:bookmarkEnd w:id="285"/>
    </w:p>
    <w:p>
      <w:r>
        <w:t>(1) Der Vorstand hat die Durchführung der Herabsetzung des Grundkapitals zur Eintragung in das Handelsregister anzumelden.</w:t>
      </w:r>
    </w:p>
    <w:p>
      <w:r>
        <w:t>(2) Anmeldung und Eintragung der Durchführung der Herabsetzung des Grundkapitals können mit Anmeldung und Eintragung des Beschlusses über die Herabsetzung verbunden werden.</w:t>
      </w:r>
    </w:p>
    <w:p>
      <w:pPr>
        <w:pStyle w:val="Heading5"/>
      </w:pPr>
      <w:bookmarkStart w:id="286" w:name="b285"/>
      <w:r>
        <w:t>§ 228 Herabsetzung unter den Mindestnennbetrag</w:t>
      </w:r>
      <w:r>
        <w:t xml:space="preserve"> </w:t>
      </w:r>
      <w:r>
        <w:rPr>
          <w:rStyle w:val="Suchmarke"/>
        </w:rPr>
        <w:t>#228#</w:t>
      </w:r>
      <w:bookmarkEnd w:id="286"/>
    </w:p>
    <w:p>
      <w:r>
        <w:t xml:space="preserve">(1) Das Grundkapital kann unter den in </w:t>
      </w:r>
      <w:hyperlink w:anchor="b9" w:history="1">
        <w:r>
          <w:rPr>
            <w:color w:val="0A3A8C"/>
            <w:u w:val="single"/>
          </w:rPr>
          <w:t xml:space="preserve">§ 7</w:t>
        </w:r>
      </w:hyperlink>
      <w:r>
        <w:t xml:space="preserve"> bestimmten Mindestnennbetrag herabgesetzt werden, wenn dieser durch eine Kapitalerhöhung wieder erreicht wird, die zugleich mit der Kapitalherabsetzung beschlossen ist und bei der Sacheinlagen nicht festgesetzt sind.</w:t>
      </w:r>
    </w:p>
    <w:p>
      <w:r>
        <w:t xml:space="preserve">(2) </w:t>
      </w:r>
      <w:r>
        <w:rPr>
          <w:rStyle w:val="Satznummer"/>
        </w:rPr>
        <w:t>1</w:t>
      </w:r>
      <w:r>
        <w:t xml:space="preserve">Die Beschlüsse sind nichtig, wenn sie und die Durchführung der Erhöhung nicht binnen sechs Monaten nach der Beschlußfassung in das Handelsregister eingetragen worden sind. </w:t>
      </w:r>
      <w:r>
        <w:rPr>
          <w:rStyle w:val="Satznummer"/>
        </w:rPr>
        <w:t>2</w:t>
      </w:r>
      <w:r>
        <w:t xml:space="preserve">Der Lauf der Frist ist gehemmt, solange eine Anfechtungs- oder Nichtigkeitsklage rechtshängig ist. </w:t>
      </w:r>
      <w:r>
        <w:rPr>
          <w:rStyle w:val="Satznummer"/>
        </w:rPr>
        <w:t>3</w:t>
      </w:r>
      <w:r>
        <w:t>Die Beschlüsse und die Durchführung der Erhöhung des Grundkapitals sollen nur zusammen in das Handelsregister eingetragen werden.</w:t>
      </w:r>
    </w:p>
    <w:p>
      <w:pPr>
        <w:pStyle w:val="Heading4"/>
      </w:pPr>
      <w:bookmarkStart w:id="287" w:name="b286"/>
      <w:r>
        <w:t>Zweiter Unterabschnitt Vereinfachte Kapitalherabsetzung</w:t>
      </w:r>
      <w:bookmarkEnd w:id="287"/>
    </w:p>
    <w:p>
      <w:pPr>
        <w:pStyle w:val="Heading5"/>
      </w:pPr>
      <w:bookmarkStart w:id="288" w:name="b287"/>
      <w:r>
        <w:t>§ 229 Voraussetzungen</w:t>
      </w:r>
      <w:r>
        <w:t xml:space="preserve"> </w:t>
      </w:r>
      <w:r>
        <w:rPr>
          <w:rStyle w:val="Suchmarke"/>
        </w:rPr>
        <w:t>#229#</w:t>
      </w:r>
      <w:bookmarkEnd w:id="288"/>
    </w:p>
    <w:p>
      <w:r>
        <w:t xml:space="preserve">(1) </w:t>
      </w:r>
      <w:r>
        <w:rPr>
          <w:rStyle w:val="Satznummer"/>
        </w:rPr>
        <w:t>1</w:t>
      </w:r>
      <w:r>
        <w:t xml:space="preserve">Eine Herabsetzung des Grundkapitals, die dazu dienen soll, Wertminderungen auszugleichen, sonstige Verluste zu decken oder Beträge in die Kapitalrücklage einzustellen, kann in vereinfachter Form vorgenommen werden. </w:t>
      </w:r>
      <w:r>
        <w:rPr>
          <w:rStyle w:val="Satznummer"/>
        </w:rPr>
        <w:t>2</w:t>
      </w:r>
      <w:r>
        <w:t>Im Beschluß ist festzusetzen, daß die Herabsetzung zu diesen Zwecken stattfindet.</w:t>
      </w:r>
    </w:p>
    <w:p>
      <w:r>
        <w:t xml:space="preserve">(2) </w:t>
      </w:r>
      <w:r>
        <w:rPr>
          <w:rStyle w:val="Satznummer"/>
        </w:rPr>
        <w:t>1</w:t>
      </w:r>
      <w:r>
        <w:t xml:space="preserve">Die vereinfachte Kapitalherabsetzung ist nur zulässig, nachdem der Teil der gesetzlichen Rücklage und der Kapitalrücklage, um den diese zusammen über zehn vom Hundert des nach der Herabsetzung verbleibenden Grundkapitals hinausgehen, sowie die Gewinnrücklagen vorweg aufgelöst sind. </w:t>
      </w:r>
      <w:r>
        <w:rPr>
          <w:rStyle w:val="Satznummer"/>
        </w:rPr>
        <w:t>2</w:t>
      </w:r>
      <w:r>
        <w:t>Sie ist nicht zulässig, solange ein Gewinnvortrag vorhanden ist.</w:t>
      </w:r>
    </w:p>
    <w:p>
      <w:r>
        <w:t xml:space="preserve">(3) </w:t>
      </w:r>
      <w:hyperlink w:anchor="b279" w:history="1">
        <w:r>
          <w:rPr>
            <w:color w:val="0A3A8C"/>
            <w:u w:val="single"/>
          </w:rPr>
          <w:t xml:space="preserve">§ 222</w:t>
        </w:r>
      </w:hyperlink>
      <w:r>
        <w:t xml:space="preserve"> Abs. 1, 2 und 4, </w:t>
      </w:r>
      <w:hyperlink w:anchor="b280" w:history="1">
        <w:r>
          <w:rPr>
            <w:color w:val="0A3A8C"/>
            <w:u w:val="single"/>
          </w:rPr>
          <w:t xml:space="preserve">§§ 223</w:t>
        </w:r>
      </w:hyperlink>
      <w:r>
        <w:t xml:space="preserve">, </w:t>
      </w:r>
      <w:hyperlink w:anchor="b281" w:history="1">
        <w:r>
          <w:rPr>
            <w:color w:val="0A3A8C"/>
            <w:u w:val="single"/>
          </w:rPr>
          <w:t xml:space="preserve">224</w:t>
        </w:r>
      </w:hyperlink>
      <w:r>
        <w:t xml:space="preserve">, </w:t>
      </w:r>
      <w:hyperlink w:anchor="b283" w:history="1">
        <w:r>
          <w:rPr>
            <w:color w:val="0A3A8C"/>
            <w:u w:val="single"/>
          </w:rPr>
          <w:t xml:space="preserve">226</w:t>
        </w:r>
      </w:hyperlink>
      <w:r>
        <w:t xml:space="preserve"> bis </w:t>
      </w:r>
      <w:hyperlink w:anchor="b285" w:history="1">
        <w:r>
          <w:rPr>
            <w:color w:val="0A3A8C"/>
            <w:u w:val="single"/>
          </w:rPr>
          <w:t xml:space="preserve">228</w:t>
        </w:r>
      </w:hyperlink>
      <w:r>
        <w:t xml:space="preserve"> über die ordentliche Kapitalherabsetzung gelten sinngemäß.</w:t>
      </w:r>
    </w:p>
    <w:p>
      <w:pPr>
        <w:pStyle w:val="Heading5"/>
      </w:pPr>
      <w:bookmarkStart w:id="289" w:name="b288"/>
      <w:r>
        <w:t>§ 230 Verbot von Zahlungen an die Aktionäre</w:t>
      </w:r>
      <w:r>
        <w:t xml:space="preserve"> </w:t>
      </w:r>
      <w:r>
        <w:rPr>
          <w:rStyle w:val="Suchmarke"/>
        </w:rPr>
        <w:t>#230#</w:t>
      </w:r>
      <w:bookmarkEnd w:id="289"/>
    </w:p>
    <w:p>
      <w:r>
        <w:rPr>
          <w:rStyle w:val="Satznummer"/>
        </w:rPr>
        <w:t>1</w:t>
      </w:r>
      <w:r>
        <w:t xml:space="preserve">Die Beträge, die aus der Auflösung der Kapital- oder Gewinnrücklagen und aus der Kapitalherabsetzung gewonnen werden, dürfen nicht zu Zahlungen an die Aktionäre und nicht dazu verwandt werden, die Aktionäre von der Verpflichtung zur Leistung von Einlagen zu befreien. </w:t>
      </w:r>
      <w:r>
        <w:rPr>
          <w:rStyle w:val="Satznummer"/>
        </w:rPr>
        <w:t>2</w:t>
      </w:r>
      <w:r>
        <w:t xml:space="preserve">Sie dürfen nur verwandt werden, um Wertminderungen auszugleichen, sonstige Verluste zu decken und Beträge in die Kapitalrücklage oder in die gesetzliche Rücklage einzustellen. </w:t>
      </w:r>
      <w:r>
        <w:rPr>
          <w:rStyle w:val="Satznummer"/>
        </w:rPr>
        <w:t>3</w:t>
      </w:r>
      <w:r>
        <w:t>Auch eine Verwendung zu einem dieser Zwecke ist nur zulässig, soweit sie im Beschluß als Zweck der Herabsetzung angegeben ist.</w:t>
      </w:r>
    </w:p>
    <w:p>
      <w:pPr>
        <w:pStyle w:val="Heading5"/>
      </w:pPr>
      <w:bookmarkStart w:id="290" w:name="b289"/>
      <w:r>
        <w:t>§ 231 Beschränkte Einstellung in die Kapitalrücklage und in die gesetzliche Rücklage</w:t>
      </w:r>
      <w:r>
        <w:t xml:space="preserve"> </w:t>
      </w:r>
      <w:r>
        <w:rPr>
          <w:rStyle w:val="Suchmarke"/>
        </w:rPr>
        <w:t>#231#</w:t>
      </w:r>
      <w:bookmarkEnd w:id="290"/>
    </w:p>
    <w:p>
      <w:r>
        <w:rPr>
          <w:rStyle w:val="Satznummer"/>
        </w:rPr>
        <w:t>1</w:t>
      </w:r>
      <w:r>
        <w:t xml:space="preserve">Die Einstellung der Beträge, die aus der Auflösung von anderen Gewinnrücklagen gewonnen werden, in die gesetzliche Rücklage und der Beträge, die aus der Kapitalherabsetzung gewonnen werden, in die Kapitalrücklage ist nur zulässig, soweit die Kapitalrücklage und die gesetzliche Rücklage zusammen zehn vom Hundert des Grundkapitals nicht übersteigen. </w:t>
      </w:r>
      <w:r>
        <w:rPr>
          <w:rStyle w:val="Satznummer"/>
        </w:rPr>
        <w:t>2</w:t>
      </w:r>
      <w:r>
        <w:t xml:space="preserve">Als Grundkapital gilt dabei der Nennbetrag, der sich durch die Herabsetzung ergibt, mindestens aber der in </w:t>
      </w:r>
      <w:hyperlink w:anchor="b9" w:history="1">
        <w:r>
          <w:rPr>
            <w:color w:val="0A3A8C"/>
            <w:u w:val="single"/>
          </w:rPr>
          <w:t xml:space="preserve">§ 7</w:t>
        </w:r>
      </w:hyperlink>
      <w:r>
        <w:t xml:space="preserve"> bestimmte Mindestnennbetrag. </w:t>
      </w:r>
      <w:r>
        <w:rPr>
          <w:rStyle w:val="Satznummer"/>
        </w:rPr>
        <w:t>3</w:t>
      </w:r>
      <w:r>
        <w:t>Bei der Bemessung der zulässigen Höhe bleiben Beträge, die in der Zeit nach der Beschlußfassung über die Kapitalherabsetzung in die Kapitalrücklage einzustellen sind, auch dann außer Betracht, wenn ihre Zahlung auf einem Beschluß beruht, der zugleich mit dem Beschluß über die Kapitalherabsetzung gefaßt wird.</w:t>
      </w:r>
    </w:p>
    <w:p>
      <w:pPr>
        <w:pStyle w:val="Heading5"/>
      </w:pPr>
      <w:bookmarkStart w:id="291" w:name="b290"/>
      <w:r>
        <w:t>§ 232 Einstellung von Beträgen in die Kapitalrücklage bei zu hoch angenommenen Verlusten</w:t>
      </w:r>
      <w:r>
        <w:t xml:space="preserve"> </w:t>
      </w:r>
      <w:r>
        <w:rPr>
          <w:rStyle w:val="Suchmarke"/>
        </w:rPr>
        <w:t>#232#</w:t>
      </w:r>
      <w:bookmarkEnd w:id="291"/>
    </w:p>
    <w:p>
      <w:r>
        <w:t>Ergibt sich bei Aufstellung der Jahresbilanz für das Geschäftsjahr, in dem der Beschluß über die Kapitalherabsetzung gefaßt wurde, oder für eines der beiden folgenden Geschäftsjahre, daß Wertminderungen und sonstige Verluste in der bei der Beschlußfassung angenommenen Höhe tatsächlich nicht eingetreten oder ausgeglichen waren, so ist der Unterschiedsbetrag in die Kapitalrücklage einzustellen.</w:t>
      </w:r>
    </w:p>
    <w:p>
      <w:pPr>
        <w:pStyle w:val="Heading5"/>
      </w:pPr>
      <w:bookmarkStart w:id="292" w:name="b291"/>
      <w:r>
        <w:t>§ 233 Gewinnausschüttung. Gläubigerschutz</w:t>
      </w:r>
      <w:r>
        <w:t xml:space="preserve"> </w:t>
      </w:r>
      <w:r>
        <w:rPr>
          <w:rStyle w:val="Suchmarke"/>
        </w:rPr>
        <w:t>#233#</w:t>
      </w:r>
      <w:bookmarkEnd w:id="292"/>
    </w:p>
    <w:p>
      <w:r>
        <w:t xml:space="preserve">(1) </w:t>
      </w:r>
      <w:r>
        <w:rPr>
          <w:rStyle w:val="Satznummer"/>
        </w:rPr>
        <w:t>1</w:t>
      </w:r>
      <w:r>
        <w:t xml:space="preserve">Gewinn darf nicht ausgeschüttet werden, bevor die gesetzliche Rücklage und die Kapitalrücklage zusammen zehn vom Hundert des Grundkapitals erreicht haben. </w:t>
      </w:r>
      <w:r>
        <w:rPr>
          <w:rStyle w:val="Satznummer"/>
        </w:rPr>
        <w:t>2</w:t>
      </w:r>
      <w:r>
        <w:t xml:space="preserve">Als Grundkapital gilt dabei der Nennbetrag, der sich durch die Herabsetzung ergibt, mindestens aber der in </w:t>
      </w:r>
      <w:hyperlink w:anchor="b9" w:history="1">
        <w:r>
          <w:rPr>
            <w:color w:val="0A3A8C"/>
            <w:u w:val="single"/>
          </w:rPr>
          <w:t xml:space="preserve">§ 7</w:t>
        </w:r>
      </w:hyperlink>
      <w:r>
        <w:t xml:space="preserve"> bestimmte Mindestnennbetrag.</w:t>
      </w:r>
    </w:p>
    <w:p>
      <w:r>
        <w:t xml:space="preserve">(2) </w:t>
      </w:r>
      <w:r>
        <w:rPr>
          <w:rStyle w:val="Satznummer"/>
        </w:rPr>
        <w:t>1</w:t>
      </w:r>
      <w:r>
        <w:t xml:space="preserve">Die Zahlung eines Gewinnanteils von mehr als vier vom Hundert ist erst für ein Geschäftsjahr zulässig, das später als zwei Jahre nach der Beschlußfassung über die Kapitalherabsetzung beginnt. </w:t>
      </w:r>
      <w:r>
        <w:rPr>
          <w:rStyle w:val="Satznummer"/>
        </w:rPr>
        <w:t>2</w:t>
      </w:r>
      <w:r>
        <w:t xml:space="preserve">Dies gilt nicht, wenn die Gläubiger, deren Forderungen vor der Bekanntmachung der Eintragung des Beschlusses begründet worden waren, befriedigt oder sichergestellt sind, soweit sie sich binnen sechs Monaten, nachdem der der Gewinnverteilung zugrundeliegende Jahresabschluss in das Unternehmensregister eingestellt worden ist, zu diesem Zweck gemeldet haben. </w:t>
      </w:r>
      <w:r>
        <w:rPr>
          <w:rStyle w:val="Satznummer"/>
        </w:rPr>
        <w:t>3</w:t>
      </w:r>
      <w:r>
        <w:t xml:space="preserve">Einer Sicherstellung der Gläubiger bedarf es nicht, die im Fall des Insolvenzverfahrens ein Recht auf vorzugsweise Befriedigung aus einer Deckungsmasse haben, die nach gesetzlicher Vorschrift zu ihrem Schutz errichtet und staatlich überwacht ist. </w:t>
      </w:r>
      <w:r>
        <w:rPr>
          <w:rStyle w:val="Satznummer"/>
        </w:rPr>
        <w:t>4</w:t>
      </w:r>
      <w:r>
        <w:t>Die Gläubiger sind auf die Befriedigung und Sicherstellung durch eine gesonderte Erklärung hinzuweisen, die der das Unternehmensregister führenden Stelle gemeinsam mit dem Jahresabschluss elektronisch zur Einstellung in das Unternehmensregister zu übermitteln ist.</w:t>
      </w:r>
    </w:p>
    <w:p>
      <w:r>
        <w:t>(3) Die Beträge, die aus der Auflösung von Kapital- und Gewinnrücklagen und aus der Kapitalherabsetzung gewonnen sind, dürfen auch nach diesen Vorschriften nicht als Gewinn ausgeschüttet werden.</w:t>
      </w:r>
    </w:p>
    <w:p>
      <w:pPr>
        <w:pStyle w:val="Heading5"/>
      </w:pPr>
      <w:bookmarkStart w:id="293" w:name="b292"/>
      <w:r>
        <w:t>§ 234 Rückwirkung der Kapitalherabsetzung</w:t>
      </w:r>
      <w:r>
        <w:t xml:space="preserve"> </w:t>
      </w:r>
      <w:r>
        <w:rPr>
          <w:rStyle w:val="Suchmarke"/>
        </w:rPr>
        <w:t>#234#</w:t>
      </w:r>
      <w:bookmarkEnd w:id="293"/>
    </w:p>
    <w:p>
      <w:r>
        <w:t>(1) Im Jahresabschluß für das letzte vor der Beschlußfassung über die Kapitalherabsetzung abgelaufene Geschäftsjahr können das gezeichnete Kapital sowie die Kapital- und Gewinnrücklagen in der Höhe ausgewiesen werden, in der sie nach der Kapitalherabsetzung bestehen sollen.</w:t>
      </w:r>
    </w:p>
    <w:p>
      <w:r>
        <w:t xml:space="preserve">(2) </w:t>
      </w:r>
      <w:r>
        <w:rPr>
          <w:rStyle w:val="Satznummer"/>
        </w:rPr>
        <w:t>1</w:t>
      </w:r>
      <w:r>
        <w:t xml:space="preserve">In diesem Fall beschließt die Hauptversammlung über die Feststellung des Jahresabschlusses. </w:t>
      </w:r>
      <w:r>
        <w:rPr>
          <w:rStyle w:val="Satznummer"/>
        </w:rPr>
        <w:t>2</w:t>
      </w:r>
      <w:r>
        <w:t>Der Beschluß soll zugleich mit dem Beschluß über die Kapitalherabsetzung gefaßt werden.</w:t>
      </w:r>
    </w:p>
    <w:p>
      <w:r>
        <w:t xml:space="preserve">(3) </w:t>
      </w:r>
      <w:r>
        <w:rPr>
          <w:rStyle w:val="Satznummer"/>
        </w:rPr>
        <w:t>1</w:t>
      </w:r>
      <w:r>
        <w:t xml:space="preserve">Die Beschlüsse sind nichtig, wenn der Beschluß über die Kapitalherabsetzung nicht binnen drei Monaten nach der Beschlußfassung in das Handelsregister eingetragen worden ist. </w:t>
      </w:r>
      <w:r>
        <w:rPr>
          <w:rStyle w:val="Satznummer"/>
        </w:rPr>
        <w:t>2</w:t>
      </w:r>
      <w:r>
        <w:t>Der Lauf der Frist ist gehemmt, solange eine Anfechtungs- oder Nichtigkeitsklage rechtshängig ist.</w:t>
      </w:r>
    </w:p>
    <w:p>
      <w:pPr>
        <w:pStyle w:val="Heading5"/>
      </w:pPr>
      <w:bookmarkStart w:id="294" w:name="b293"/>
      <w:r>
        <w:t>§ 235 Rückwirkung einer gleichzeitigen Kapitalerhöhung</w:t>
      </w:r>
      <w:r>
        <w:t xml:space="preserve"> </w:t>
      </w:r>
      <w:r>
        <w:rPr>
          <w:rStyle w:val="Suchmarke"/>
        </w:rPr>
        <w:t>#235#</w:t>
      </w:r>
      <w:bookmarkEnd w:id="294"/>
    </w:p>
    <w:p>
      <w:r>
        <w:t xml:space="preserve">(1) </w:t>
      </w:r>
      <w:r>
        <w:rPr>
          <w:rStyle w:val="Satznummer"/>
        </w:rPr>
        <w:t>1</w:t>
      </w:r>
      <w:r>
        <w:t xml:space="preserve">Wird im Fall des </w:t>
      </w:r>
      <w:hyperlink w:anchor="b292" w:history="1">
        <w:r>
          <w:rPr>
            <w:color w:val="0A3A8C"/>
            <w:u w:val="single"/>
          </w:rPr>
          <w:t xml:space="preserve">§ 234</w:t>
        </w:r>
      </w:hyperlink>
      <w:r>
        <w:t xml:space="preserve"> zugleich mit der Kapitalherabsetzung eine Erhöhung des Grundkapitals beschlossen, so kann auch die Kapitalerhöhung in dem Jahresabschluß als vollzogen berücksichtigt werden. </w:t>
      </w:r>
      <w:r>
        <w:rPr>
          <w:rStyle w:val="Satznummer"/>
        </w:rPr>
        <w:t>2</w:t>
      </w:r>
      <w:r>
        <w:t xml:space="preserve">Die Beschlußfassung ist nur zulässig, wenn die neuen Aktien gezeichnet, keine Sacheinlagen festgesetzt sind und wenn auf jede Aktie die Einzahlung geleistet ist, die nach § 188 Abs. 2 zur Zeit der Anmeldung der Durchführung der Kapitalerhöhung bewirkt sein muß. </w:t>
      </w:r>
      <w:r>
        <w:rPr>
          <w:rStyle w:val="Satznummer"/>
        </w:rPr>
        <w:t>3</w:t>
      </w:r>
      <w:r>
        <w:t>Die Zeichnung und die Einzahlung sind dem Notar nachzuweisen, der den Beschluß über die Erhöhung des Grundkapitals beurkundet.</w:t>
      </w:r>
    </w:p>
    <w:p>
      <w:r>
        <w:t xml:space="preserve">(2) </w:t>
      </w:r>
      <w:r>
        <w:rPr>
          <w:rStyle w:val="Satznummer"/>
        </w:rPr>
        <w:t>1</w:t>
      </w:r>
      <w:r>
        <w:t xml:space="preserve">Sämtliche Beschlüsse sind nichtig, wenn die Beschlüsse über die Kapitalherabsetzung und die Kapitalerhöhung und die Durchführung der Erhöhung nicht binnen drei Monaten nach der Beschlußfassung in das Handelsregister eingetragen worden sind. </w:t>
      </w:r>
      <w:r>
        <w:rPr>
          <w:rStyle w:val="Satznummer"/>
        </w:rPr>
        <w:t>2</w:t>
      </w:r>
      <w:r>
        <w:t xml:space="preserve">Der Lauf der Frist ist gehemmt, solange eine Anfechtungs- oder Nichtigkeitsklage rechtshängig ist. </w:t>
      </w:r>
      <w:r>
        <w:rPr>
          <w:rStyle w:val="Satznummer"/>
        </w:rPr>
        <w:t>3</w:t>
      </w:r>
      <w:r>
        <w:t>Die Beschlüsse und die Durchführung der Erhöhung des Grundkapitals sollen nur zusammen in das Handelsregister eingetragen werden.</w:t>
      </w:r>
    </w:p>
    <w:p>
      <w:pPr>
        <w:pStyle w:val="Heading5"/>
      </w:pPr>
      <w:bookmarkStart w:id="295" w:name="b294"/>
      <w:r>
        <w:t>§ 236 Offenlegung</w:t>
      </w:r>
      <w:r>
        <w:t xml:space="preserve"> </w:t>
      </w:r>
      <w:r>
        <w:rPr>
          <w:rStyle w:val="Suchmarke"/>
        </w:rPr>
        <w:t>#236#</w:t>
      </w:r>
      <w:bookmarkEnd w:id="295"/>
    </w:p>
    <w:p>
      <w:r>
        <w:t xml:space="preserve">Die Offenlegung des Jahresabschlusses nach § 325 des Handelsgesetzbuchs darf im Fall des </w:t>
      </w:r>
      <w:hyperlink w:anchor="b292" w:history="1">
        <w:r>
          <w:rPr>
            <w:color w:val="0A3A8C"/>
            <w:u w:val="single"/>
          </w:rPr>
          <w:t xml:space="preserve">§ 234</w:t>
        </w:r>
      </w:hyperlink>
      <w:r>
        <w:t xml:space="preserve"> erst nach Eintragung des Beschlusses über die Kapitalherabsetzung, im Fall des </w:t>
      </w:r>
      <w:hyperlink w:anchor="b293" w:history="1">
        <w:r>
          <w:rPr>
            <w:color w:val="0A3A8C"/>
            <w:u w:val="single"/>
          </w:rPr>
          <w:t xml:space="preserve">§ 235</w:t>
        </w:r>
      </w:hyperlink>
      <w:r>
        <w:t xml:space="preserve"> erst ergehen, nachdem die Beschlüsse über die Kapitalherabsetzung und Kapitalerhöhung und die Durchführung der Kapitalerhöhung eingetragen worden sind.</w:t>
      </w:r>
    </w:p>
    <w:p>
      <w:pPr>
        <w:pStyle w:val="Heading4"/>
      </w:pPr>
      <w:bookmarkStart w:id="296" w:name="b295"/>
      <w:r>
        <w:t>Dritter Unterabschnitt Kapitalherabsetzung durch Einziehung von Aktien. Ausnahme für Stückaktien</w:t>
      </w:r>
      <w:bookmarkEnd w:id="296"/>
    </w:p>
    <w:p>
      <w:pPr>
        <w:pStyle w:val="Heading5"/>
      </w:pPr>
      <w:bookmarkStart w:id="297" w:name="b296"/>
      <w:r>
        <w:t>§ 237 Voraussetzungen</w:t>
      </w:r>
      <w:r>
        <w:t xml:space="preserve"> </w:t>
      </w:r>
      <w:r>
        <w:rPr>
          <w:rStyle w:val="Suchmarke"/>
        </w:rPr>
        <w:t>#237#</w:t>
      </w:r>
      <w:bookmarkEnd w:id="297"/>
    </w:p>
    <w:p>
      <w:r>
        <w:t xml:space="preserve">(1) </w:t>
      </w:r>
      <w:r>
        <w:rPr>
          <w:rStyle w:val="Satznummer"/>
        </w:rPr>
        <w:t>1</w:t>
      </w:r>
      <w:r>
        <w:t xml:space="preserve">Aktien können zwangsweise oder nach Erwerb durch die Gesellschaft eingezogen werden. </w:t>
      </w:r>
      <w:r>
        <w:rPr>
          <w:rStyle w:val="Satznummer"/>
        </w:rPr>
        <w:t>2</w:t>
      </w:r>
      <w:r>
        <w:t>Eine Zwangseinziehung ist nur zulässig, wenn sie in der ursprünglichen Satzung oder durch eine Satzungsänderung vor Übernahme oder Zeichnung der Aktien angeordnet oder gestattet war.</w:t>
      </w:r>
    </w:p>
    <w:p>
      <w:r>
        <w:t xml:space="preserve">(2) </w:t>
      </w:r>
      <w:r>
        <w:rPr>
          <w:rStyle w:val="Satznummer"/>
        </w:rPr>
        <w:t>1</w:t>
      </w:r>
      <w:r>
        <w:t xml:space="preserve">Bei der Einziehung sind die Vorschriften über die ordentliche Kapitalherabsetzung zu befolgen. </w:t>
      </w:r>
      <w:r>
        <w:rPr>
          <w:rStyle w:val="Satznummer"/>
        </w:rPr>
        <w:t>2</w:t>
      </w:r>
      <w:r>
        <w:t xml:space="preserve">In der Satzung oder in dem Beschluß der Hauptversammlung sind die Voraussetzungen für eine Zwangseinziehung und die Einzelheiten ihrer Durchführung festzulegen. </w:t>
      </w:r>
      <w:r>
        <w:rPr>
          <w:rStyle w:val="Satznummer"/>
        </w:rPr>
        <w:t>3</w:t>
      </w:r>
      <w:r>
        <w:t xml:space="preserve">Für die Zahlung des Entgelts, das Aktionären bei einer Zwangseinziehung oder bei einem Erwerb von Aktien zum Zwecke der Einziehung gewährt wird, und für die Befreiung dieser Aktionäre von der Verpflichtung zur Leistung von Einlagen gilt </w:t>
      </w:r>
      <w:hyperlink w:anchor="b282" w:history="1">
        <w:r>
          <w:rPr>
            <w:color w:val="0A3A8C"/>
            <w:u w:val="single"/>
          </w:rPr>
          <w:t xml:space="preserve">§ 225</w:t>
        </w:r>
      </w:hyperlink>
      <w:r>
        <w:t xml:space="preserve"> Abs. 2 sinngemäß.</w:t>
      </w:r>
    </w:p>
    <w:p>
      <w:r>
        <w:t>(3) Die Vorschriften über die ordentliche Kapitalherabsetzung brauchen nicht befolgt zu werden, wenn Aktien, auf die der Ausgabebetrag voll geleistet ist,</w:t>
      </w:r>
    </w:p>
    <w:p>
      <w:pPr>
        <w:tabs>
          <w:tab w:pos="567" w:val="left"/>
        </w:tabs>
        <w:ind w:left="567" w:hanging="567"/>
      </w:pPr>
      <w:r>
        <w:t>1.</w:t>
      </w:r>
      <w:r>
        <w:tab/>
      </w:r>
      <w:r>
        <w:t>der Gesellschaft unentgeltlich zur Verfügung gestellt oder</w:t>
      </w:r>
    </w:p>
    <w:p>
      <w:pPr>
        <w:tabs>
          <w:tab w:pos="567" w:val="left"/>
        </w:tabs>
        <w:ind w:left="567" w:hanging="567"/>
      </w:pPr>
      <w:r>
        <w:t>2.</w:t>
      </w:r>
      <w:r>
        <w:tab/>
      </w:r>
      <w:r>
        <w:t>zu Lasten des Bilanzgewinns oder einer frei verfügbaren Rücklage, soweit sie zu diesem Zweck verwandt werden können, eingezogen werden oder</w:t>
      </w:r>
    </w:p>
    <w:p>
      <w:pPr>
        <w:tabs>
          <w:tab w:pos="567" w:val="left"/>
        </w:tabs>
        <w:ind w:left="567" w:hanging="567"/>
      </w:pPr>
      <w:r>
        <w:t>3.</w:t>
      </w:r>
      <w:r>
        <w:tab/>
      </w:r>
      <w:r>
        <w:t xml:space="preserve">Stückaktien sind und der Beschluss der Hauptversammlung bestimmt, dass sich durch die Einziehung der Anteil der übrigen Aktien am Grundkapital gemäß </w:t>
      </w:r>
      <w:hyperlink w:anchor="b10" w:history="1">
        <w:r>
          <w:rPr>
            <w:color w:val="0A3A8C"/>
            <w:u w:val="single"/>
          </w:rPr>
          <w:t xml:space="preserve">§ 8</w:t>
        </w:r>
      </w:hyperlink>
      <w:r>
        <w:t xml:space="preserve"> Abs. 3 erhöht; wird der Vorstand zur Einziehung ermächtigt, so kann er auch zur Anpassung der Angabe der Zahl in der Satzung ermächtigt werden.</w:t>
      </w:r>
    </w:p>
    <w:p>
      <w:r>
        <w:t xml:space="preserve">(4) </w:t>
      </w:r>
      <w:r>
        <w:rPr>
          <w:rStyle w:val="Satznummer"/>
        </w:rPr>
        <w:t>1</w:t>
      </w:r>
      <w:r>
        <w:t xml:space="preserve">Auch in den Fällen des Absatzes 3 kann die Kapitalherabsetzung durch Einziehung nur von der Hauptversammlung beschlossen werden. </w:t>
      </w:r>
      <w:r>
        <w:rPr>
          <w:rStyle w:val="Satznummer"/>
        </w:rPr>
        <w:t>2</w:t>
      </w:r>
      <w:r>
        <w:t xml:space="preserve">Für den Beschluß genügt die einfache Stimmenmehrheit. </w:t>
      </w:r>
      <w:r>
        <w:rPr>
          <w:rStyle w:val="Satznummer"/>
        </w:rPr>
        <w:t>3</w:t>
      </w:r>
      <w:r>
        <w:t xml:space="preserve">Die Satzung kann eine größere Mehrheit und weitere Erfordernisse bestimmen. </w:t>
      </w:r>
      <w:r>
        <w:rPr>
          <w:rStyle w:val="Satznummer"/>
        </w:rPr>
        <w:t>4</w:t>
      </w:r>
      <w:r>
        <w:t xml:space="preserve">Im Beschluß ist der Zweck der Kapitalherabsetzung festzusetzen. </w:t>
      </w:r>
      <w:r>
        <w:rPr>
          <w:rStyle w:val="Satznummer"/>
        </w:rPr>
        <w:t>5</w:t>
      </w:r>
      <w:r>
        <w:t>Der Vorstand und der Vorsitzende des Aufsichtsrats haben den Beschluß zur Eintragung in das Handelsregister anzumelden.</w:t>
      </w:r>
    </w:p>
    <w:p>
      <w:r>
        <w:t>(5) In den Fällen des Absatzes 3 Nr. 1 und 2 ist in die Kapitalrücklage ein Betrag einzustellen, der dem auf die eingezogenen Aktien entfallenden Betrag des Grundkapitals gleichkommt.</w:t>
      </w:r>
    </w:p>
    <w:p>
      <w:r>
        <w:t xml:space="preserve">(6) </w:t>
      </w:r>
      <w:r>
        <w:rPr>
          <w:rStyle w:val="Satznummer"/>
        </w:rPr>
        <w:t>1</w:t>
      </w:r>
      <w:r>
        <w:t xml:space="preserve">Soweit es sich um eine durch die Satzung angeordnete Zwangseinziehung handelt, bedarf es eines Beschlusses der Hauptversammlung nicht. </w:t>
      </w:r>
      <w:r>
        <w:rPr>
          <w:rStyle w:val="Satznummer"/>
        </w:rPr>
        <w:t>2</w:t>
      </w:r>
      <w:r>
        <w:t>In diesem Fall tritt für die Anwendung der Vorschriften über die ordentliche Kapitalherabsetzung an die Stelle des Hauptversammlungsbeschlusses die Entscheidung des Vorstands über die Einziehung.</w:t>
      </w:r>
    </w:p>
    <w:p>
      <w:pPr>
        <w:pStyle w:val="Heading5"/>
      </w:pPr>
      <w:bookmarkStart w:id="298" w:name="b297"/>
      <w:r>
        <w:t>§ 238 Wirksamwerden der Kapitalherabsetzung</w:t>
      </w:r>
      <w:r>
        <w:t xml:space="preserve"> </w:t>
      </w:r>
      <w:r>
        <w:rPr>
          <w:rStyle w:val="Suchmarke"/>
        </w:rPr>
        <w:t>#238#</w:t>
      </w:r>
      <w:bookmarkEnd w:id="298"/>
    </w:p>
    <w:p>
      <w:r>
        <w:rPr>
          <w:rStyle w:val="Satznummer"/>
        </w:rPr>
        <w:t>1</w:t>
      </w:r>
      <w:r>
        <w:t xml:space="preserve">Mit der Eintragung des Beschlusses oder, wenn die Einziehung nachfolgt, mit der Einziehung ist das Grundkapital um den auf die eingezogenen Aktien entfallenden Betrag herabgesetzt. </w:t>
      </w:r>
      <w:r>
        <w:rPr>
          <w:rStyle w:val="Satznummer"/>
        </w:rPr>
        <w:t>2</w:t>
      </w:r>
      <w:r>
        <w:t xml:space="preserve">Handelt es sich um eine durch die Satzung angeordnete Zwangseinziehung, so ist, wenn die Hauptversammlung nicht über die Kapitalherabsetzung beschließt, das Grundkapital mit der Zwangseinziehung herabgesetzt. </w:t>
      </w:r>
      <w:r>
        <w:rPr>
          <w:rStyle w:val="Satznummer"/>
        </w:rPr>
        <w:t>3</w:t>
      </w:r>
      <w:r>
        <w:t>Zur Einziehung bedarf es einer Handlung der Gesellschaft, die auf Vernichtung der Rechte aus bestimmten Aktien gerichtet ist.</w:t>
      </w:r>
    </w:p>
    <w:p>
      <w:pPr>
        <w:pStyle w:val="Heading5"/>
      </w:pPr>
      <w:bookmarkStart w:id="299" w:name="b298"/>
      <w:r>
        <w:t>§ 239 Anmeldung der Durchführung</w:t>
      </w:r>
      <w:r>
        <w:t xml:space="preserve"> </w:t>
      </w:r>
      <w:r>
        <w:rPr>
          <w:rStyle w:val="Suchmarke"/>
        </w:rPr>
        <w:t>#239#</w:t>
      </w:r>
      <w:bookmarkEnd w:id="299"/>
    </w:p>
    <w:p>
      <w:r>
        <w:t xml:space="preserve">(1) </w:t>
      </w:r>
      <w:r>
        <w:rPr>
          <w:rStyle w:val="Satznummer"/>
        </w:rPr>
        <w:t>1</w:t>
      </w:r>
      <w:r>
        <w:t xml:space="preserve">Der Vorstand hat die Durchführung der Herabsetzung des Grundkapitals zur Eintragung in das Handelsregister anzumelden. </w:t>
      </w:r>
      <w:r>
        <w:rPr>
          <w:rStyle w:val="Satznummer"/>
        </w:rPr>
        <w:t>2</w:t>
      </w:r>
      <w:r>
        <w:t>Dies gilt auch dann, wenn es sich um eine durch die Satzung angeordnete Zwangseinziehung handelt.</w:t>
      </w:r>
    </w:p>
    <w:p>
      <w:r>
        <w:t>(2) Anmeldung und Eintragung der Durchführung der Herabsetzung können mit Anmeldung und Eintragung des Beschlusses über die Herabsetzung verbunden werden.</w:t>
      </w:r>
    </w:p>
    <w:p>
      <w:pPr>
        <w:pStyle w:val="Heading4"/>
      </w:pPr>
      <w:bookmarkStart w:id="300" w:name="b299"/>
      <w:r>
        <w:t>Vierter Unterabschnitt Ausweis der Kapitalherabsetzung</w:t>
      </w:r>
      <w:bookmarkEnd w:id="300"/>
    </w:p>
    <w:p>
      <w:pPr>
        <w:pStyle w:val="Heading5"/>
      </w:pPr>
      <w:bookmarkStart w:id="301" w:name="b300"/>
      <w:r>
        <w:t>§ 240</w:t>
      </w:r>
      <w:r>
        <w:t xml:space="preserve"> </w:t>
      </w:r>
      <w:r>
        <w:rPr>
          <w:rStyle w:val="Suchmarke"/>
        </w:rPr>
        <w:t>#240#</w:t>
      </w:r>
      <w:bookmarkEnd w:id="301"/>
    </w:p>
    <w:p>
      <w:r>
        <w:rPr>
          <w:rStyle w:val="Satznummer"/>
        </w:rPr>
        <w:t>1</w:t>
      </w:r>
      <w:r>
        <w:t xml:space="preserve">Der aus der Kapitalherabsetzung gewonnene Betrag ist in der Gewinn- und Verlustrechnung als "Ertrag aus der Kapitalherabsetzung" gesondert, und zwar hinter dem Posten "Entnahmen aus Gewinnrücklagen", auszuweisen. </w:t>
      </w:r>
      <w:r>
        <w:rPr>
          <w:rStyle w:val="Satznummer"/>
        </w:rPr>
        <w:t>2</w:t>
      </w:r>
      <w:r>
        <w:t xml:space="preserve">Eine Einstellung in die Kapitalrücklage nach </w:t>
      </w:r>
      <w:hyperlink w:anchor="b287" w:history="1">
        <w:r>
          <w:rPr>
            <w:color w:val="0A3A8C"/>
            <w:u w:val="single"/>
          </w:rPr>
          <w:t xml:space="preserve">§ 229</w:t>
        </w:r>
      </w:hyperlink>
      <w:r>
        <w:t xml:space="preserve"> Abs. 1 und </w:t>
      </w:r>
      <w:hyperlink w:anchor="b290" w:history="1">
        <w:r>
          <w:rPr>
            <w:color w:val="0A3A8C"/>
            <w:u w:val="single"/>
          </w:rPr>
          <w:t xml:space="preserve">§ 232</w:t>
        </w:r>
      </w:hyperlink>
      <w:r>
        <w:t xml:space="preserve"> ist als "Einstellung in die Kapitalrücklage nach den Vorschriften über die vereinfachte Kapitalherabsetzung" gesondert auszuweisen. </w:t>
      </w:r>
      <w:r>
        <w:rPr>
          <w:rStyle w:val="Satznummer"/>
        </w:rPr>
        <w:t>3</w:t>
      </w:r>
      <w:r>
        <w:t>Im Anhang ist zu erläutern, ob und in welcher Höhe die aus der Kapitalherabsetzung und aus der Auflösung von Gewinnrücklagen gewonnenen Beträge</w:t>
      </w:r>
    </w:p>
    <w:p>
      <w:pPr>
        <w:tabs>
          <w:tab w:pos="567" w:val="left"/>
        </w:tabs>
        <w:ind w:left="567" w:hanging="567"/>
      </w:pPr>
      <w:r>
        <w:t>1.</w:t>
      </w:r>
      <w:r>
        <w:tab/>
      </w:r>
      <w:r>
        <w:t>zum Ausgleich von Wertminderungen,</w:t>
      </w:r>
    </w:p>
    <w:p>
      <w:pPr>
        <w:tabs>
          <w:tab w:pos="567" w:val="left"/>
        </w:tabs>
        <w:ind w:left="567" w:hanging="567"/>
      </w:pPr>
      <w:r>
        <w:t>2.</w:t>
      </w:r>
      <w:r>
        <w:tab/>
      </w:r>
      <w:r>
        <w:t>zur Deckung von sonstigen Verlusten oder</w:t>
      </w:r>
    </w:p>
    <w:p>
      <w:pPr>
        <w:tabs>
          <w:tab w:pos="567" w:val="left"/>
        </w:tabs>
        <w:ind w:left="567" w:hanging="567"/>
      </w:pPr>
      <w:r>
        <w:t>3.</w:t>
      </w:r>
      <w:r>
        <w:tab/>
      </w:r>
      <w:r>
        <w:t>zur Einstellung in die Kapitalrücklage</w:t>
      </w:r>
    </w:p>
    <w:p>
      <w:r>
        <w:t xml:space="preserve">verwandt werden. </w:t>
      </w:r>
      <w:r>
        <w:rPr>
          <w:rStyle w:val="Satznummer"/>
        </w:rPr>
        <w:t>4</w:t>
      </w:r>
      <w:r>
        <w:t>Ist die Gesellschaft eine kleine Kapitalgesellschaft (§ 267 Absatz 1 des Handelsgesetzbuchs), braucht sie Satz 3 nicht anzuwenden.</w:t>
      </w:r>
    </w:p>
    <w:p>
      <w:pPr>
        <w:pStyle w:val="Heading2"/>
      </w:pPr>
      <w:bookmarkStart w:id="302" w:name="b301"/>
      <w:r>
        <w:t>Siebenter Teil Nichtigkeit von Hauptversammlungsbeschlüssen und des festgestellten Jahresabschlusses. Sonderprüfung wegen unzulässiger Unterbewertung</w:t>
      </w:r>
      <w:bookmarkEnd w:id="302"/>
    </w:p>
    <w:p>
      <w:pPr>
        <w:pStyle w:val="Heading3"/>
      </w:pPr>
      <w:bookmarkStart w:id="303" w:name="b302"/>
      <w:r>
        <w:t>Erster Abschnitt Nichtigkeit von Hauptversammlungsbeschlüssen</w:t>
      </w:r>
      <w:bookmarkEnd w:id="303"/>
    </w:p>
    <w:p>
      <w:pPr>
        <w:pStyle w:val="Heading4"/>
      </w:pPr>
      <w:bookmarkStart w:id="304" w:name="b303"/>
      <w:r>
        <w:t>Erster Unterabschnitt Allgemeines</w:t>
      </w:r>
      <w:bookmarkEnd w:id="304"/>
    </w:p>
    <w:p>
      <w:pPr>
        <w:pStyle w:val="Heading5"/>
      </w:pPr>
      <w:bookmarkStart w:id="305" w:name="b304"/>
      <w:r>
        <w:t>§ 241 Nichtigkeitsgründe</w:t>
      </w:r>
      <w:r>
        <w:t xml:space="preserve"> </w:t>
      </w:r>
      <w:r>
        <w:rPr>
          <w:rStyle w:val="Suchmarke"/>
        </w:rPr>
        <w:t>#241#</w:t>
      </w:r>
      <w:bookmarkEnd w:id="305"/>
    </w:p>
    <w:p>
      <w:r>
        <w:t xml:space="preserve">Ein Beschluß der Hauptversammlung ist außer in den Fällen des </w:t>
      </w:r>
      <w:hyperlink w:anchor="b244" w:history="1">
        <w:r>
          <w:rPr>
            <w:color w:val="0A3A8C"/>
            <w:u w:val="single"/>
          </w:rPr>
          <w:t xml:space="preserve">§ 192</w:t>
        </w:r>
      </w:hyperlink>
      <w:r>
        <w:t xml:space="preserve"> Abs. 4, </w:t>
      </w:r>
      <w:hyperlink w:anchor="b266" w:history="1">
        <w:r>
          <w:rPr>
            <w:color w:val="0A3A8C"/>
            <w:u w:val="single"/>
          </w:rPr>
          <w:t xml:space="preserve">§§ 212</w:t>
        </w:r>
      </w:hyperlink>
      <w:r>
        <w:t xml:space="preserve">, </w:t>
      </w:r>
      <w:hyperlink w:anchor="b271" w:history="1">
        <w:r>
          <w:rPr>
            <w:color w:val="0A3A8C"/>
            <w:u w:val="single"/>
          </w:rPr>
          <w:t xml:space="preserve">217</w:t>
        </w:r>
      </w:hyperlink>
      <w:r>
        <w:t xml:space="preserve"> Abs. 2, </w:t>
      </w:r>
      <w:hyperlink w:anchor="b285" w:history="1">
        <w:r>
          <w:rPr>
            <w:color w:val="0A3A8C"/>
            <w:u w:val="single"/>
          </w:rPr>
          <w:t xml:space="preserve">§ 228</w:t>
        </w:r>
      </w:hyperlink>
      <w:r>
        <w:t xml:space="preserve"> Abs. 2, </w:t>
      </w:r>
      <w:hyperlink w:anchor="b292" w:history="1">
        <w:r>
          <w:rPr>
            <w:color w:val="0A3A8C"/>
            <w:u w:val="single"/>
          </w:rPr>
          <w:t xml:space="preserve">§ 234</w:t>
        </w:r>
      </w:hyperlink>
      <w:r>
        <w:t xml:space="preserve"> Abs. 3 und </w:t>
      </w:r>
      <w:hyperlink w:anchor="b293" w:history="1">
        <w:r>
          <w:rPr>
            <w:color w:val="0A3A8C"/>
            <w:u w:val="single"/>
          </w:rPr>
          <w:t xml:space="preserve">§ 235</w:t>
        </w:r>
      </w:hyperlink>
      <w:r>
        <w:t xml:space="preserve"> Abs. 2 nur dann nichtig, wenn er</w:t>
      </w:r>
    </w:p>
    <w:p>
      <w:pPr>
        <w:tabs>
          <w:tab w:pos="567" w:val="left"/>
        </w:tabs>
        <w:ind w:left="567" w:hanging="567"/>
      </w:pPr>
      <w:r>
        <w:t>1.</w:t>
      </w:r>
      <w:r>
        <w:tab/>
      </w:r>
      <w:r>
        <w:t xml:space="preserve">in einer Hauptversammlung gefaßt worden ist, die unter Verstoß gegen </w:t>
      </w:r>
      <w:hyperlink w:anchor="b152" w:history="1">
        <w:r>
          <w:rPr>
            <w:color w:val="0A3A8C"/>
            <w:u w:val="single"/>
          </w:rPr>
          <w:t xml:space="preserve">§ 121</w:t>
        </w:r>
      </w:hyperlink>
      <w:r>
        <w:t xml:space="preserve"> Abs. 2 und 3 Satz 1 oder Abs. 4 und 4b Satz 1 einberufen war,</w:t>
      </w:r>
    </w:p>
    <w:p>
      <w:pPr>
        <w:tabs>
          <w:tab w:pos="567" w:val="left"/>
        </w:tabs>
        <w:ind w:left="567" w:hanging="567"/>
      </w:pPr>
      <w:r>
        <w:t>2.</w:t>
      </w:r>
      <w:r>
        <w:tab/>
      </w:r>
      <w:r>
        <w:t xml:space="preserve">nicht nach </w:t>
      </w:r>
      <w:hyperlink w:anchor="b164" w:history="1">
        <w:r>
          <w:rPr>
            <w:color w:val="0A3A8C"/>
            <w:u w:val="single"/>
          </w:rPr>
          <w:t xml:space="preserve">§ 130</w:t>
        </w:r>
      </w:hyperlink>
      <w:r>
        <w:t xml:space="preserve"> Absatz 1 bis 2 Satz 1 und Absatz 4 beurkundet ist,</w:t>
      </w:r>
    </w:p>
    <w:p>
      <w:pPr>
        <w:tabs>
          <w:tab w:pos="567" w:val="left"/>
        </w:tabs>
        <w:ind w:left="567" w:hanging="567"/>
      </w:pPr>
      <w:r>
        <w:t>3.</w:t>
      </w:r>
      <w:r>
        <w:tab/>
      </w:r>
      <w:r>
        <w:t>mit dem Wesen der Aktiengesellschaft nicht zu vereinbaren ist oder durch seinen Inhalt Vorschriften verletzt, die ausschließlich oder überwiegend zum Schutz der Gläubiger der Gesellschaft oder sonst im öffentlichen Interesse gegeben sind,</w:t>
      </w:r>
    </w:p>
    <w:p>
      <w:pPr>
        <w:tabs>
          <w:tab w:pos="567" w:val="left"/>
        </w:tabs>
        <w:ind w:left="567" w:hanging="567"/>
      </w:pPr>
      <w:r>
        <w:t>4.</w:t>
      </w:r>
      <w:r>
        <w:tab/>
      </w:r>
      <w:r>
        <w:t>durch seinen Inhalt gegen die guten Sitten verstößt,</w:t>
      </w:r>
    </w:p>
    <w:p>
      <w:pPr>
        <w:tabs>
          <w:tab w:pos="567" w:val="left"/>
        </w:tabs>
        <w:ind w:left="567" w:hanging="567"/>
      </w:pPr>
      <w:r>
        <w:t>5.</w:t>
      </w:r>
      <w:r>
        <w:tab/>
      </w:r>
      <w:r>
        <w:t>auf Anfechtungsklage durch Urteil rechtskräftig für nichtig erklärt worden ist,</w:t>
      </w:r>
    </w:p>
    <w:p>
      <w:pPr>
        <w:tabs>
          <w:tab w:pos="567" w:val="left"/>
        </w:tabs>
        <w:ind w:left="567" w:hanging="567"/>
      </w:pPr>
      <w:r>
        <w:t>6.</w:t>
      </w:r>
      <w:r>
        <w:tab/>
      </w:r>
      <w:r>
        <w:t>nach § 398 des Gesetzes über das Verfahren in Familiensachen und in den Angelegenheiten der freiwilligen Gerichtsbarkeit auf Grund rechtskräftiger Entscheidung als nichtig gelöscht worden ist.</w:t>
      </w:r>
    </w:p>
    <w:p>
      <w:pPr>
        <w:pStyle w:val="Heading5"/>
      </w:pPr>
      <w:bookmarkStart w:id="306" w:name="b305"/>
      <w:r>
        <w:t>§ 242 Heilung der Nichtigkeit</w:t>
      </w:r>
      <w:r>
        <w:t xml:space="preserve"> </w:t>
      </w:r>
      <w:r>
        <w:rPr>
          <w:rStyle w:val="Suchmarke"/>
        </w:rPr>
        <w:t>#242#</w:t>
      </w:r>
      <w:bookmarkEnd w:id="306"/>
    </w:p>
    <w:p>
      <w:r>
        <w:t xml:space="preserve">(1) Die Nichtigkeit eines Hauptversammlungsbeschlusses, der entgegen </w:t>
      </w:r>
      <w:hyperlink w:anchor="b164" w:history="1">
        <w:r>
          <w:rPr>
            <w:color w:val="0A3A8C"/>
            <w:u w:val="single"/>
          </w:rPr>
          <w:t xml:space="preserve">§ 130</w:t>
        </w:r>
      </w:hyperlink>
      <w:r>
        <w:t xml:space="preserve"> Absatz 1 bis 2 Satz 1 und Absatz 4 nicht oder nicht gehörig beurkundet worden ist, kann nicht mehr geltend gemacht werden, wenn der Beschluß in das Handelsregister eingetragen worden ist.</w:t>
      </w:r>
    </w:p>
    <w:p>
      <w:r>
        <w:t xml:space="preserve">(2) </w:t>
      </w:r>
      <w:r>
        <w:rPr>
          <w:rStyle w:val="Satznummer"/>
        </w:rPr>
        <w:t>1</w:t>
      </w:r>
      <w:r>
        <w:t xml:space="preserve">Ist ein Hauptversammlungsbeschluß nach </w:t>
      </w:r>
      <w:hyperlink w:anchor="b304" w:history="1">
        <w:r>
          <w:rPr>
            <w:color w:val="0A3A8C"/>
            <w:u w:val="single"/>
          </w:rPr>
          <w:t xml:space="preserve">§ 241</w:t>
        </w:r>
      </w:hyperlink>
      <w:r>
        <w:t xml:space="preserve"> Nr. 1, 3 oder 4 nichtig, so kann die Nichtigkeit nicht mehr geltend gemacht werden, wenn der Beschluß in das Handelsregister eingetragen worden ist und seitdem drei Jahre verstrichen sind. </w:t>
      </w:r>
      <w:r>
        <w:rPr>
          <w:rStyle w:val="Satznummer"/>
        </w:rPr>
        <w:t>2</w:t>
      </w:r>
      <w:r>
        <w:t xml:space="preserve">Ist bei Ablauf der Frist eine Klage auf Feststellung der Nichtigkeit des Hauptversammlungsbeschlusses rechtshängig, so verlängert sich die Frist, bis über die Klage rechtskräftig entschieden ist oder sie sich auf andere Weise endgültig erledigt hat. </w:t>
      </w:r>
      <w:r>
        <w:rPr>
          <w:rStyle w:val="Satznummer"/>
        </w:rPr>
        <w:t>3</w:t>
      </w:r>
      <w:r>
        <w:t xml:space="preserve">Eine Löschung des Beschlusses von Amts wegen nach § 398 des Gesetzes über das Verfahren in Familiensachen und in den Angelegenheiten der freiwilligen Gerichtsbarkeit wird durch den Zeitablauf nicht ausgeschlossen. </w:t>
      </w:r>
      <w:r>
        <w:rPr>
          <w:rStyle w:val="Satznummer"/>
        </w:rPr>
        <w:t>4</w:t>
      </w:r>
      <w:r>
        <w:t xml:space="preserve">Ist ein Hauptversammlungsbeschluß wegen Verstoßes gegen </w:t>
      </w:r>
      <w:hyperlink w:anchor="b152" w:history="1">
        <w:r>
          <w:rPr>
            <w:color w:val="0A3A8C"/>
            <w:u w:val="single"/>
          </w:rPr>
          <w:t xml:space="preserve">§ 121</w:t>
        </w:r>
      </w:hyperlink>
      <w:r>
        <w:t xml:space="preserve"> Abs. 4 Satz 2 nach </w:t>
      </w:r>
      <w:hyperlink w:anchor="b304" w:history="1">
        <w:r>
          <w:rPr>
            <w:color w:val="0A3A8C"/>
            <w:u w:val="single"/>
          </w:rPr>
          <w:t xml:space="preserve">§ 241</w:t>
        </w:r>
      </w:hyperlink>
      <w:r>
        <w:t xml:space="preserve"> Nr. 1 nichtig, so kann die Nichtigkeit auch dann nicht mehr geltend gemacht werden, wenn der nicht geladene Aktionär den Beschluß genehmigt. </w:t>
      </w:r>
      <w:r>
        <w:rPr>
          <w:rStyle w:val="Satznummer"/>
        </w:rPr>
        <w:t>5</w:t>
      </w:r>
      <w:r>
        <w:t xml:space="preserve">Ist ein Hauptversammlungsbeschluss nach </w:t>
      </w:r>
      <w:hyperlink w:anchor="b304" w:history="1">
        <w:r>
          <w:rPr>
            <w:color w:val="0A3A8C"/>
            <w:u w:val="single"/>
          </w:rPr>
          <w:t xml:space="preserve">§ 241</w:t>
        </w:r>
      </w:hyperlink>
      <w:r>
        <w:t xml:space="preserve"> Nr. 5 oder </w:t>
      </w:r>
      <w:hyperlink w:anchor="b314" w:history="1">
        <w:r>
          <w:rPr>
            <w:color w:val="0A3A8C"/>
            <w:u w:val="single"/>
          </w:rPr>
          <w:t xml:space="preserve">§ 249</w:t>
        </w:r>
      </w:hyperlink>
      <w:r>
        <w:t xml:space="preserve"> nichtig, so kann das Urteil nach </w:t>
      </w:r>
      <w:hyperlink w:anchor="b312" w:history="1">
        <w:r>
          <w:rPr>
            <w:color w:val="0A3A8C"/>
            <w:u w:val="single"/>
          </w:rPr>
          <w:t xml:space="preserve">§ 248</w:t>
        </w:r>
      </w:hyperlink>
      <w:r>
        <w:t xml:space="preserve"> Abs. 1 Satz 3 nicht mehr eingetragen werden, wenn gemäß </w:t>
      </w:r>
      <w:hyperlink w:anchor="b310" w:history="1">
        <w:r>
          <w:rPr>
            <w:color w:val="0A3A8C"/>
            <w:u w:val="single"/>
          </w:rPr>
          <w:t xml:space="preserve">§ 246a</w:t>
        </w:r>
      </w:hyperlink>
      <w:r>
        <w:t xml:space="preserve"> Abs. 1 rechtskräftig festgestellt wurde, dass Mängel des Hauptversammlungsbeschlusses die Wirkung der Eintragung unberührt lassen; § 398 des Gesetzes über das Verfahren in Familiensachen und in den Angelegenheiten der freiwilligen Gerichtsbarkeit findet keine Anwendung.</w:t>
      </w:r>
    </w:p>
    <w:p>
      <w:r>
        <w:t xml:space="preserve">(3) Absatz 2 gilt entsprechend, wenn in den Fällen des </w:t>
      </w:r>
      <w:hyperlink w:anchor="b271" w:history="1">
        <w:r>
          <w:rPr>
            <w:color w:val="0A3A8C"/>
            <w:u w:val="single"/>
          </w:rPr>
          <w:t xml:space="preserve">§ 217</w:t>
        </w:r>
      </w:hyperlink>
      <w:r>
        <w:t xml:space="preserve"> Abs. 2, </w:t>
      </w:r>
      <w:hyperlink w:anchor="b285" w:history="1">
        <w:r>
          <w:rPr>
            <w:color w:val="0A3A8C"/>
            <w:u w:val="single"/>
          </w:rPr>
          <w:t xml:space="preserve">§ 228</w:t>
        </w:r>
      </w:hyperlink>
      <w:r>
        <w:t xml:space="preserve"> Abs. 2, </w:t>
      </w:r>
      <w:hyperlink w:anchor="b292" w:history="1">
        <w:r>
          <w:rPr>
            <w:color w:val="0A3A8C"/>
            <w:u w:val="single"/>
          </w:rPr>
          <w:t xml:space="preserve">§ 234</w:t>
        </w:r>
      </w:hyperlink>
      <w:r>
        <w:t xml:space="preserve"> Abs. 3 und </w:t>
      </w:r>
      <w:hyperlink w:anchor="b293" w:history="1">
        <w:r>
          <w:rPr>
            <w:color w:val="0A3A8C"/>
            <w:u w:val="single"/>
          </w:rPr>
          <w:t xml:space="preserve">§ 235</w:t>
        </w:r>
      </w:hyperlink>
      <w:r>
        <w:t xml:space="preserve"> Abs. 2 die erforderlichen Eintragungen nicht fristgemäß vorgenommen worden sind.</w:t>
      </w:r>
    </w:p>
    <w:p>
      <w:pPr>
        <w:pStyle w:val="Heading5"/>
      </w:pPr>
      <w:bookmarkStart w:id="307" w:name="b306"/>
      <w:r>
        <w:t>§ 243 Anfechtungsgründe</w:t>
      </w:r>
      <w:r>
        <w:t xml:space="preserve"> </w:t>
      </w:r>
      <w:r>
        <w:rPr>
          <w:rStyle w:val="Suchmarke"/>
        </w:rPr>
        <w:t>#243#</w:t>
      </w:r>
      <w:bookmarkEnd w:id="307"/>
    </w:p>
    <w:p>
      <w:r>
        <w:t>(1) Ein Beschluß der Hauptversammlung kann wegen Verletzung des Gesetzes oder der Satzung durch Klage angefochten werden.</w:t>
      </w:r>
    </w:p>
    <w:p>
      <w:r>
        <w:t xml:space="preserve">(2) </w:t>
      </w:r>
      <w:r>
        <w:rPr>
          <w:rStyle w:val="Satznummer"/>
        </w:rPr>
        <w:t>1</w:t>
      </w:r>
      <w:r>
        <w:t xml:space="preserve">Die Anfechtung kann auch darauf gestützt werden, daß ein Aktionär mit der Ausübung des Stimmrechts für sich oder einen Dritten Sondervorteile zum Schaden der Gesellschaft oder der anderen Aktionäre zu erlangen suchte und der Beschluß geeignet ist, diesem Zweck zu dienen. </w:t>
      </w:r>
      <w:r>
        <w:rPr>
          <w:rStyle w:val="Satznummer"/>
        </w:rPr>
        <w:t>2</w:t>
      </w:r>
      <w:r>
        <w:t>Dies gilt nicht, wenn der Beschluß den anderen Aktionären einen angemessenen Ausgleich für ihren Schaden gewährt.</w:t>
      </w:r>
    </w:p>
    <w:p>
      <w:r>
        <w:t xml:space="preserve">(3) </w:t>
      </w:r>
      <w:r>
        <w:rPr>
          <w:rStyle w:val="Satznummer"/>
        </w:rPr>
        <w:t>1</w:t>
      </w:r>
      <w:r>
        <w:t>Die Anfechtung kann nicht gestützt werden</w:t>
      </w:r>
    </w:p>
    <w:p>
      <w:pPr>
        <w:tabs>
          <w:tab w:pos="567" w:val="left"/>
        </w:tabs>
        <w:ind w:left="567" w:hanging="567"/>
      </w:pPr>
      <w:r>
        <w:t>1.</w:t>
      </w:r>
      <w:r>
        <w:tab/>
      </w:r>
      <w:r>
        <w:t xml:space="preserve">auf die durch eine technische Störung verursachte Verletzung von Rechten, die nach </w:t>
      </w:r>
      <w:hyperlink w:anchor="b146" w:history="1">
        <w:r>
          <w:rPr>
            <w:color w:val="0A3A8C"/>
            <w:u w:val="single"/>
          </w:rPr>
          <w:t xml:space="preserve">§ 118</w:t>
        </w:r>
      </w:hyperlink>
      <w:r>
        <w:t xml:space="preserve"> Absatz 1 Satz 2 und Absatz 2 Satz 1 sowie </w:t>
      </w:r>
      <w:hyperlink w:anchor="b170" w:history="1">
        <w:r>
          <w:rPr>
            <w:color w:val="0A3A8C"/>
            <w:u w:val="single"/>
          </w:rPr>
          <w:t xml:space="preserve">§ 134</w:t>
        </w:r>
      </w:hyperlink>
      <w:r>
        <w:t xml:space="preserve"> Absatz 3 auf elektronischem Wege wahrgenommen worden sind,</w:t>
      </w:r>
    </w:p>
    <w:p>
      <w:pPr>
        <w:tabs>
          <w:tab w:pos="567" w:val="left"/>
        </w:tabs>
        <w:ind w:left="567" w:hanging="567"/>
      </w:pPr>
      <w:r>
        <w:t>2.</w:t>
      </w:r>
      <w:r>
        <w:tab/>
      </w:r>
      <w:r>
        <w:t xml:space="preserve">auf die durch eine technische Störung verursachte Verletzung von Rechten, die nach </w:t>
      </w:r>
      <w:hyperlink w:anchor="b147" w:history="1">
        <w:r>
          <w:rPr>
            <w:color w:val="0A3A8C"/>
            <w:u w:val="single"/>
          </w:rPr>
          <w:t xml:space="preserve">§ 118a</w:t>
        </w:r>
      </w:hyperlink>
      <w:r>
        <w:t xml:space="preserve"> Absatz 1 Satz 2 Nummer 2, 3, 4 in Verbindung mit </w:t>
      </w:r>
      <w:hyperlink w:anchor="b166" w:history="1">
        <w:r>
          <w:rPr>
            <w:color w:val="0A3A8C"/>
            <w:u w:val="single"/>
          </w:rPr>
          <w:t xml:space="preserve">§ 131</w:t>
        </w:r>
      </w:hyperlink>
      <w:r>
        <w:t xml:space="preserve">, nach </w:t>
      </w:r>
      <w:hyperlink w:anchor="b147" w:history="1">
        <w:r>
          <w:rPr>
            <w:color w:val="0A3A8C"/>
            <w:u w:val="single"/>
          </w:rPr>
          <w:t xml:space="preserve">§ 118a</w:t>
        </w:r>
      </w:hyperlink>
      <w:r>
        <w:t xml:space="preserve"> Absatz 1 Satz 2 Nummer 6 in Verbindung mit </w:t>
      </w:r>
      <w:hyperlink w:anchor="b165" w:history="1">
        <w:r>
          <w:rPr>
            <w:color w:val="0A3A8C"/>
            <w:u w:val="single"/>
          </w:rPr>
          <w:t xml:space="preserve">§ 130a</w:t>
        </w:r>
      </w:hyperlink>
      <w:r>
        <w:t xml:space="preserve"> Absatz 1 bis 4, nach </w:t>
      </w:r>
      <w:hyperlink w:anchor="b147" w:history="1">
        <w:r>
          <w:rPr>
            <w:color w:val="0A3A8C"/>
            <w:u w:val="single"/>
          </w:rPr>
          <w:t xml:space="preserve">§ 118a</w:t>
        </w:r>
      </w:hyperlink>
      <w:r>
        <w:t xml:space="preserve"> Absatz 1 Satz 2 Nummer 7 in Verbindung mit </w:t>
      </w:r>
      <w:hyperlink w:anchor="b165" w:history="1">
        <w:r>
          <w:rPr>
            <w:color w:val="0A3A8C"/>
            <w:u w:val="single"/>
          </w:rPr>
          <w:t xml:space="preserve">§ 130a</w:t>
        </w:r>
      </w:hyperlink>
      <w:r>
        <w:t xml:space="preserve"> Absatz 5 und 6 sowie nach </w:t>
      </w:r>
      <w:hyperlink w:anchor="b147" w:history="1">
        <w:r>
          <w:rPr>
            <w:color w:val="0A3A8C"/>
            <w:u w:val="single"/>
          </w:rPr>
          <w:t xml:space="preserve">§ 118a</w:t>
        </w:r>
      </w:hyperlink>
      <w:r>
        <w:t xml:space="preserve"> Absatz 1 Satz 2 Nummer 8 auf elektronischem Wege wahrgenommen worden sind,</w:t>
      </w:r>
    </w:p>
    <w:p>
      <w:pPr>
        <w:tabs>
          <w:tab w:pos="567" w:val="left"/>
        </w:tabs>
        <w:ind w:left="567" w:hanging="567"/>
      </w:pPr>
      <w:r>
        <w:t>3.</w:t>
      </w:r>
      <w:r>
        <w:tab/>
      </w:r>
      <w:r>
        <w:t xml:space="preserve">auf die durch eine technische Störung verursachte Verletzung von </w:t>
      </w:r>
      <w:hyperlink w:anchor="b147" w:history="1">
        <w:r>
          <w:rPr>
            <w:color w:val="0A3A8C"/>
            <w:u w:val="single"/>
          </w:rPr>
          <w:t xml:space="preserve">§ 118a</w:t>
        </w:r>
      </w:hyperlink>
      <w:r>
        <w:t xml:space="preserve"> Absatz 1 Satz 2 Nummer 1 und 5 sowie Absatz 6,</w:t>
      </w:r>
    </w:p>
    <w:p>
      <w:pPr>
        <w:tabs>
          <w:tab w:pos="567" w:val="left"/>
        </w:tabs>
        <w:ind w:left="567" w:hanging="567"/>
      </w:pPr>
      <w:r>
        <w:t>4.</w:t>
      </w:r>
      <w:r>
        <w:tab/>
      </w:r>
      <w:r>
        <w:t xml:space="preserve">auf eine Verletzung der </w:t>
      </w:r>
      <w:hyperlink w:anchor="b75" w:history="1">
        <w:r>
          <w:rPr>
            <w:color w:val="0A3A8C"/>
            <w:u w:val="single"/>
          </w:rPr>
          <w:t xml:space="preserve">§§ 67a</w:t>
        </w:r>
      </w:hyperlink>
      <w:r>
        <w:t xml:space="preserve">, </w:t>
      </w:r>
      <w:hyperlink w:anchor="b76" w:history="1">
        <w:r>
          <w:rPr>
            <w:color w:val="0A3A8C"/>
            <w:u w:val="single"/>
          </w:rPr>
          <w:t xml:space="preserve">67b</w:t>
        </w:r>
      </w:hyperlink>
      <w:r>
        <w:t xml:space="preserve">, </w:t>
      </w:r>
      <w:hyperlink w:anchor="b146" w:history="1">
        <w:r>
          <w:rPr>
            <w:color w:val="0A3A8C"/>
            <w:u w:val="single"/>
          </w:rPr>
          <w:t xml:space="preserve">118</w:t>
        </w:r>
      </w:hyperlink>
      <w:r>
        <w:t xml:space="preserve"> Absatz 1 Satz 3 bis 5 und Absatz 2 Satz 2, von </w:t>
      </w:r>
      <w:hyperlink w:anchor="b147" w:history="1">
        <w:r>
          <w:rPr>
            <w:color w:val="0A3A8C"/>
            <w:u w:val="single"/>
          </w:rPr>
          <w:t xml:space="preserve">§ 118a</w:t>
        </w:r>
      </w:hyperlink>
      <w:r>
        <w:t xml:space="preserve"> Absatz 1 Satz 4, </w:t>
      </w:r>
      <w:hyperlink w:anchor="b152" w:history="1">
        <w:r>
          <w:rPr>
            <w:color w:val="0A3A8C"/>
            <w:u w:val="single"/>
          </w:rPr>
          <w:t xml:space="preserve">§ 121</w:t>
        </w:r>
      </w:hyperlink>
      <w:r>
        <w:t xml:space="preserve"> Absatz 4a oder des </w:t>
      </w:r>
      <w:hyperlink w:anchor="b156" w:history="1">
        <w:r>
          <w:rPr>
            <w:color w:val="0A3A8C"/>
            <w:u w:val="single"/>
          </w:rPr>
          <w:t xml:space="preserve">§ 124a</w:t>
        </w:r>
      </w:hyperlink>
      <w:r>
        <w:t>,</w:t>
      </w:r>
    </w:p>
    <w:p>
      <w:pPr>
        <w:tabs>
          <w:tab w:pos="567" w:val="left"/>
        </w:tabs>
        <w:ind w:left="567" w:hanging="567"/>
      </w:pPr>
      <w:r>
        <w:t>5.</w:t>
      </w:r>
      <w:r>
        <w:tab/>
      </w:r>
      <w:r>
        <w:t>auf Gründe, die ein Verfahren nach § 318 Absatz 3 des Handelsgesetzbuchs rechtfertigen.</w:t>
      </w:r>
    </w:p>
    <w:p>
      <w:r>
        <w:rPr>
          <w:rStyle w:val="Satznummer"/>
        </w:rPr>
        <w:t>2</w:t>
      </w:r>
      <w:r>
        <w:t>Eine Anfechtung kann auf die durch eine technische Störung verursachte Verletzung von Rechten aus Satz 1 Nummer 1 und 2 sowie Vorschriften aus Satz 1 Nummer 3 nur gestützt werden, wenn der Gesellschaft grobe Fahrlässigkeit oder Vorsatz vorzuwerfen ist; in der Satzung kann ein strengerer Verschuldensmaßstab bestimmt werden.</w:t>
      </w:r>
    </w:p>
    <w:p>
      <w:r>
        <w:t xml:space="preserve">(4) </w:t>
      </w:r>
      <w:r>
        <w:rPr>
          <w:rStyle w:val="Satznummer"/>
        </w:rPr>
        <w:t>1</w:t>
      </w:r>
      <w:r>
        <w:t xml:space="preserve">Wegen unrichtiger, unvollständiger oder verweigerter Erteilung von Informationen kann nur angefochten werden, wenn ein objektiv urteilender Aktionär die Erteilung der Information als wesentliche Voraussetzung für die sachgerechte Wahrnehmung seiner Teilnahme- und Mitgliedschaftsrechte angesehen hätte. </w:t>
      </w:r>
      <w:r>
        <w:rPr>
          <w:rStyle w:val="Satznummer"/>
        </w:rPr>
        <w:t>2</w:t>
      </w:r>
      <w:r>
        <w:t>Auf unrichtige, unvollständige oder unzureichende Informationen in der Hauptversammlung über die Ermittlung, Höhe oder Angemessenheit von Ausgleich, Abfindung, Zuzahlung oder über sonstige Kompensationen kann eine Anfechtungsklage nicht gestützt werden, wenn das Gesetz für Bewertungsrügen ein Spruchverfahren vorsieht.</w:t>
      </w:r>
    </w:p>
    <w:p>
      <w:pPr>
        <w:pStyle w:val="Heading5"/>
      </w:pPr>
      <w:bookmarkStart w:id="308" w:name="b307"/>
      <w:r>
        <w:t>§ 244 Bestätigung anfechtbarer Hauptversammlungsbeschlüsse*.</w:t>
      </w:r>
      <w:r>
        <w:t xml:space="preserve"> </w:t>
      </w:r>
      <w:r>
        <w:rPr>
          <w:rStyle w:val="Suchmarke"/>
        </w:rPr>
        <w:t>#244#</w:t>
      </w:r>
      <w:bookmarkEnd w:id="308"/>
    </w:p>
    <w:p>
      <w:r>
        <w:rPr>
          <w:rStyle w:val="Satznummer"/>
        </w:rPr>
        <w:t>1</w:t>
      </w:r>
      <w:r>
        <w:t xml:space="preserve">Die Anfechtung kann nicht mehr geltend gemacht werden, wenn die Hauptversammlung den anfechtbaren Beschluß durch einen neuen Beschluß bestätigt hat und dieser Beschluß innerhalb der Anfechtungsfrist nicht angefochten oder die Anfechtung rechtskräftig zurückgewiesen worden ist. </w:t>
      </w:r>
      <w:r>
        <w:rPr>
          <w:rStyle w:val="Satznummer"/>
        </w:rPr>
        <w:t>2</w:t>
      </w:r>
      <w:r>
        <w:t>Hat der Kläger ein rechtliches Interesse, daß der anfechtbare Beschluß für die Zeit bis zum Bestätigungsbeschluß für nichtig erklärt wird, so kann er die Anfechtung weiterhin mit dem Ziel geltend machen, den anfechtbaren Beschluß für diese Zeit für nichtig zu erklären.</w:t>
      </w:r>
    </w:p>
    <w:p>
      <w:pPr>
        <w:pStyle w:val="Heading5"/>
      </w:pPr>
      <w:bookmarkStart w:id="309" w:name="b308"/>
      <w:r>
        <w:t>§ 245 Anfechtungsbefugnis</w:t>
      </w:r>
      <w:r>
        <w:t xml:space="preserve"> </w:t>
      </w:r>
      <w:r>
        <w:rPr>
          <w:rStyle w:val="Suchmarke"/>
        </w:rPr>
        <w:t>#245#</w:t>
      </w:r>
      <w:bookmarkEnd w:id="309"/>
    </w:p>
    <w:p>
      <w:r>
        <w:rPr>
          <w:rStyle w:val="Satznummer"/>
        </w:rPr>
        <w:t>1</w:t>
      </w:r>
      <w:r>
        <w:t>Zur Anfechtung ist befugt</w:t>
      </w:r>
    </w:p>
    <w:p>
      <w:pPr>
        <w:tabs>
          <w:tab w:pos="567" w:val="left"/>
        </w:tabs>
        <w:ind w:left="567" w:hanging="567"/>
      </w:pPr>
      <w:r>
        <w:t>1.</w:t>
      </w:r>
      <w:r>
        <w:tab/>
      </w:r>
      <w:r>
        <w:t>jeder in der Hauptversammlung erschienene Aktionär, wenn er die Aktien schon vor der Bekanntmachung der Tagesordnung erworben hatte und gegen den Beschluß Widerspruch zur Niederschrift erklärt hat;</w:t>
      </w:r>
    </w:p>
    <w:p>
      <w:pPr>
        <w:tabs>
          <w:tab w:pos="567" w:val="left"/>
        </w:tabs>
        <w:ind w:left="567" w:hanging="567"/>
      </w:pPr>
      <w:r>
        <w:t>2.</w:t>
      </w:r>
      <w:r>
        <w:tab/>
      </w:r>
      <w:r>
        <w:t>jeder in der Hauptversammlung nicht erschienene Aktionär, wenn er zu der Hauptversammlung zu Unrecht nicht zugelassen worden ist oder die Versammlung nicht ordnungsgemäß einberufen oder der Gegenstand der Beschlußfassung nicht ordnungsgemäß bekanntgemacht worden ist;</w:t>
      </w:r>
    </w:p>
    <w:p>
      <w:pPr>
        <w:tabs>
          <w:tab w:pos="567" w:val="left"/>
        </w:tabs>
        <w:ind w:left="567" w:hanging="567"/>
      </w:pPr>
      <w:r>
        <w:t>3.</w:t>
      </w:r>
      <w:r>
        <w:tab/>
      </w:r>
      <w:r>
        <w:t xml:space="preserve">im Fall des </w:t>
      </w:r>
      <w:hyperlink w:anchor="b306" w:history="1">
        <w:r>
          <w:rPr>
            <w:color w:val="0A3A8C"/>
            <w:u w:val="single"/>
          </w:rPr>
          <w:t xml:space="preserve">§ 243</w:t>
        </w:r>
      </w:hyperlink>
      <w:r>
        <w:t xml:space="preserve"> Abs. 2 jeder Aktionär, wenn er die Aktien schon vor der Bekanntmachung der Tagesordnung erworben hatte;</w:t>
      </w:r>
    </w:p>
    <w:p>
      <w:pPr>
        <w:tabs>
          <w:tab w:pos="567" w:val="left"/>
        </w:tabs>
        <w:ind w:left="567" w:hanging="567"/>
      </w:pPr>
      <w:r>
        <w:t>4.</w:t>
      </w:r>
      <w:r>
        <w:tab/>
      </w:r>
      <w:r>
        <w:t>der Vorstand;</w:t>
      </w:r>
    </w:p>
    <w:p>
      <w:pPr>
        <w:tabs>
          <w:tab w:pos="567" w:val="left"/>
        </w:tabs>
        <w:ind w:left="567" w:hanging="567"/>
      </w:pPr>
      <w:r>
        <w:t>5.</w:t>
      </w:r>
      <w:r>
        <w:tab/>
      </w:r>
      <w:r>
        <w:t>jedes Mitglied des Vorstands und des Aufsichtsrats, wenn durch die Ausführung des Beschlusses Mitglieder des Vorstands oder des Aufsichtsrats eine strafbare Handlung oder eine Ordnungswidrigkeit begehen oder wenn sie ersatzpflichtig werden würden.</w:t>
      </w:r>
    </w:p>
    <w:p>
      <w:r>
        <w:rPr>
          <w:rStyle w:val="Satznummer"/>
        </w:rPr>
        <w:t>2</w:t>
      </w:r>
      <w:r>
        <w:t>Im Fall der virtuellen Hauptversammlung gelten alle zu der Versammlung elektronisch zugeschalteten Aktionäre als erschienen im Sinne des Satzes 1 Nummer 1.</w:t>
      </w:r>
    </w:p>
    <w:p>
      <w:pPr>
        <w:pStyle w:val="Heading5"/>
      </w:pPr>
      <w:bookmarkStart w:id="310" w:name="b309"/>
      <w:r>
        <w:t>§ 246 Anfechtungsklage</w:t>
      </w:r>
      <w:r>
        <w:t xml:space="preserve"> </w:t>
      </w:r>
      <w:r>
        <w:rPr>
          <w:rStyle w:val="Suchmarke"/>
        </w:rPr>
        <w:t>#246#</w:t>
      </w:r>
      <w:bookmarkEnd w:id="310"/>
    </w:p>
    <w:p>
      <w:r>
        <w:t>(1) Die Klage muß innerhalb eines Monats nach der Beschlußfassung erhoben werden.</w:t>
      </w:r>
    </w:p>
    <w:p>
      <w:r>
        <w:t xml:space="preserve">(2) </w:t>
      </w:r>
      <w:r>
        <w:rPr>
          <w:rStyle w:val="Satznummer"/>
        </w:rPr>
        <w:t>1</w:t>
      </w:r>
      <w:r>
        <w:t xml:space="preserve">Die Klage ist gegen die Gesellschaft zu richten. </w:t>
      </w:r>
      <w:r>
        <w:rPr>
          <w:rStyle w:val="Satznummer"/>
        </w:rPr>
        <w:t>2</w:t>
      </w:r>
      <w:r>
        <w:t xml:space="preserve">Die Gesellschaft wird durch Vorstand und Aufsichtsrat vertreten. </w:t>
      </w:r>
      <w:r>
        <w:rPr>
          <w:rStyle w:val="Satznummer"/>
        </w:rPr>
        <w:t>3</w:t>
      </w:r>
      <w:r>
        <w:t>Klagt der Vorstand oder ein Vorstandsmitglied, wird die Gesellschaft durch den Aufsichtsrat, klagt ein Aufsichtsratsmitglied, wird sie durch den Vorstand vertreten.</w:t>
      </w:r>
    </w:p>
    <w:p>
      <w:r>
        <w:t xml:space="preserve">(3) </w:t>
      </w:r>
      <w:r>
        <w:rPr>
          <w:rStyle w:val="Satznummer"/>
        </w:rPr>
        <w:t>1</w:t>
      </w:r>
      <w:r>
        <w:t xml:space="preserve">Zuständig für die Klage ist ausschließlich das Landgericht, in dessen Bezirk die Gesellschaft ihren Sitz hat. </w:t>
      </w:r>
      <w:r>
        <w:rPr>
          <w:rStyle w:val="Satznummer"/>
        </w:rPr>
        <w:t>2</w:t>
      </w:r>
      <w:r>
        <w:t xml:space="preserve">Ist bei dem Landgericht eine Kammer für Handelssachen gebildet, so entscheidet diese an Stelle der Zivilkammer. </w:t>
      </w:r>
      <w:r>
        <w:rPr>
          <w:rStyle w:val="Satznummer"/>
        </w:rPr>
        <w:t>3</w:t>
      </w:r>
      <w:hyperlink w:anchor="b192" w:history="1">
        <w:r>
          <w:rPr>
            <w:color w:val="0A3A8C"/>
            <w:u w:val="single"/>
          </w:rPr>
          <w:t xml:space="preserve">§ 148</w:t>
        </w:r>
      </w:hyperlink>
      <w:r>
        <w:t xml:space="preserve"> Abs. 2 Satz 3 und 4 gilt entsprechend. </w:t>
      </w:r>
      <w:r>
        <w:rPr>
          <w:rStyle w:val="Satznummer"/>
        </w:rPr>
        <w:t>4</w:t>
      </w:r>
      <w:r>
        <w:t xml:space="preserve">Die mündliche Verhandlung findet nicht vor Ablauf der Monatsfrist des Absatzes 1 statt. </w:t>
      </w:r>
      <w:r>
        <w:rPr>
          <w:rStyle w:val="Satznummer"/>
        </w:rPr>
        <w:t>5</w:t>
      </w:r>
      <w:r>
        <w:t xml:space="preserve">Die Gesellschaft kann unmittelbar nach Ablauf der Monatsfrist des Absatzes 1 eine eingereichte Klage bereits vor Zustellung einsehen und sich von der Geschäftsstelle Auszüge und Abschriften erteilen lassen. </w:t>
      </w:r>
      <w:r>
        <w:rPr>
          <w:rStyle w:val="Satznummer"/>
        </w:rPr>
        <w:t>6</w:t>
      </w:r>
      <w:r>
        <w:t>Mehrere Anfechtungsprozesse sind zur gleichzeitigen Verhandlung und Entscheidung zu verbinden.</w:t>
      </w:r>
    </w:p>
    <w:p>
      <w:r>
        <w:t xml:space="preserve">(4) </w:t>
      </w:r>
      <w:r>
        <w:rPr>
          <w:rStyle w:val="Satznummer"/>
        </w:rPr>
        <w:t>1</w:t>
      </w:r>
      <w:r>
        <w:t xml:space="preserve">Der Vorstand hat die Erhebung der Klage unverzüglich in den Gesellschaftsblättern bekanntzumachen. </w:t>
      </w:r>
      <w:r>
        <w:rPr>
          <w:rStyle w:val="Satznummer"/>
        </w:rPr>
        <w:t>2</w:t>
      </w:r>
      <w:r>
        <w:t>Ein Aktionär kann sich als Nebenintervenient nur innerhalb eines Monats nach der Bekanntmachung an der Klage beteiligen.</w:t>
      </w:r>
    </w:p>
    <w:p>
      <w:pPr>
        <w:pStyle w:val="Heading5"/>
      </w:pPr>
      <w:bookmarkStart w:id="311" w:name="b310"/>
      <w:r>
        <w:t>§ 246a Freigabeverfahren</w:t>
      </w:r>
      <w:r>
        <w:t xml:space="preserve"> </w:t>
      </w:r>
      <w:r>
        <w:rPr>
          <w:rStyle w:val="Suchmarke"/>
        </w:rPr>
        <w:t>#246a#</w:t>
      </w:r>
      <w:bookmarkEnd w:id="311"/>
    </w:p>
    <w:p>
      <w:r>
        <w:t xml:space="preserve">(1) </w:t>
      </w:r>
      <w:r>
        <w:rPr>
          <w:rStyle w:val="Satznummer"/>
        </w:rPr>
        <w:t>1</w:t>
      </w:r>
      <w:r>
        <w:t xml:space="preserve">Wird gegen einen Hauptversammlungsbeschluss zur Änderung der Satzung nach </w:t>
      </w:r>
      <w:hyperlink w:anchor="b147" w:history="1">
        <w:r>
          <w:rPr>
            <w:color w:val="0A3A8C"/>
            <w:u w:val="single"/>
          </w:rPr>
          <w:t xml:space="preserve">§ 118a</w:t>
        </w:r>
      </w:hyperlink>
      <w:r>
        <w:t xml:space="preserve"> Absatz 1 Satz 1, über eine Maßnahme der Kapitalbeschaffung, der Kapitalherabsetzung (</w:t>
      </w:r>
      <w:hyperlink w:anchor="b232" w:history="1">
        <w:r>
          <w:rPr>
            <w:color w:val="0A3A8C"/>
            <w:u w:val="single"/>
          </w:rPr>
          <w:t xml:space="preserve">§§ 182</w:t>
        </w:r>
      </w:hyperlink>
      <w:r>
        <w:t xml:space="preserve"> bis </w:t>
      </w:r>
      <w:hyperlink w:anchor="b300" w:history="1">
        <w:r>
          <w:rPr>
            <w:color w:val="0A3A8C"/>
            <w:u w:val="single"/>
          </w:rPr>
          <w:t xml:space="preserve">240</w:t>
        </w:r>
      </w:hyperlink>
      <w:r>
        <w:t>) oder einen Unternehmensvertrag (</w:t>
      </w:r>
      <w:hyperlink w:anchor="b371" w:history="1">
        <w:r>
          <w:rPr>
            <w:color w:val="0A3A8C"/>
            <w:u w:val="single"/>
          </w:rPr>
          <w:t xml:space="preserve">§§ 291</w:t>
        </w:r>
      </w:hyperlink>
      <w:r>
        <w:t xml:space="preserve"> bis </w:t>
      </w:r>
      <w:hyperlink w:anchor="b397" w:history="1">
        <w:r>
          <w:rPr>
            <w:color w:val="0A3A8C"/>
            <w:u w:val="single"/>
          </w:rPr>
          <w:t xml:space="preserve">307</w:t>
        </w:r>
      </w:hyperlink>
      <w:r>
        <w:t xml:space="preserve">) Klage erhoben, so kann das Gericht auf Antrag der Gesellschaft durch Beschluss feststellen, dass die Erhebung der Klage der Eintragung nicht entgegensteht und Mängel des Hauptversammlungsbeschlusses die Wirkung der Eintragung unberührt lassen. </w:t>
      </w:r>
      <w:r>
        <w:rPr>
          <w:rStyle w:val="Satznummer"/>
        </w:rPr>
        <w:t>2</w:t>
      </w:r>
      <w:r>
        <w:t xml:space="preserve">Auf das Verfahren sind </w:t>
      </w:r>
      <w:hyperlink w:anchor="b311" w:history="1">
        <w:r>
          <w:rPr>
            <w:color w:val="0A3A8C"/>
            <w:u w:val="single"/>
          </w:rPr>
          <w:t xml:space="preserve">§ 247</w:t>
        </w:r>
      </w:hyperlink>
      <w:r>
        <w:t xml:space="preserve">, die §§ 82, 83 Abs. 1 und § 84 der Zivilprozessordnung sowie die im ersten Rechtszug für das Verfahren vor den Landgerichten geltenden Vorschriften der Zivilprozessordnung entsprechend anzuwenden, soweit nichts Abweichendes bestimmt ist. </w:t>
      </w:r>
      <w:r>
        <w:rPr>
          <w:rStyle w:val="Satznummer"/>
        </w:rPr>
        <w:t>3</w:t>
      </w:r>
      <w:r>
        <w:t>Über den Antrag entscheidet ein Senat des Oberlandesgerichts, in dessen Bezirk die Gesellschaft ihren Sitz hat.</w:t>
      </w:r>
    </w:p>
    <w:p>
      <w:r>
        <w:t>(2) Ein Beschluss nach Absatz 1 ergeht, wenn</w:t>
      </w:r>
    </w:p>
    <w:p>
      <w:pPr>
        <w:tabs>
          <w:tab w:pos="567" w:val="left"/>
        </w:tabs>
        <w:ind w:left="567" w:hanging="567"/>
      </w:pPr>
      <w:r>
        <w:t>1.</w:t>
      </w:r>
      <w:r>
        <w:tab/>
      </w:r>
      <w:r>
        <w:t>die Klage unzulässig oder offensichtlich unbegründet ist,</w:t>
      </w:r>
    </w:p>
    <w:p>
      <w:pPr>
        <w:tabs>
          <w:tab w:pos="567" w:val="left"/>
        </w:tabs>
        <w:ind w:left="567" w:hanging="567"/>
      </w:pPr>
      <w:r>
        <w:t>2.</w:t>
      </w:r>
      <w:r>
        <w:tab/>
      </w:r>
      <w:r>
        <w:t xml:space="preserve">der Kläger nicht binnen einer Woche nach Zustellung des Antrags durch Urkunden oder durch einen Nachweis nach </w:t>
      </w:r>
      <w:hyperlink w:anchor="b77" w:history="1">
        <w:r>
          <w:rPr>
            <w:color w:val="0A3A8C"/>
            <w:u w:val="single"/>
          </w:rPr>
          <w:t xml:space="preserve">§ 67c</w:t>
        </w:r>
      </w:hyperlink>
      <w:r>
        <w:t xml:space="preserve"> Absatz 3 belegt hat, dass er seit Bekanntmachung der Einberufung einen anteiligen Betrag von mindestens 1 000 Euro hält oder</w:t>
      </w:r>
    </w:p>
    <w:p>
      <w:pPr>
        <w:tabs>
          <w:tab w:pos="567" w:val="left"/>
        </w:tabs>
        <w:ind w:left="567" w:hanging="567"/>
      </w:pPr>
      <w:r>
        <w:t>3.</w:t>
      </w:r>
      <w:r>
        <w:tab/>
      </w:r>
      <w:r>
        <w:t>das alsbaldige Wirksamwerden des Hauptversammlungsbeschlusses vorrangig erscheint, weil die vom Antragsteller dargelegten wesentlichen Nachteile für die Gesellschaft und ihre Aktionäre nach freier Überzeugung des Gerichts die Nachteile für den Antragsgegner überwiegen, es sei denn, es liegt eine besondere Schwere des Rechtsverstoßes vor.</w:t>
      </w:r>
    </w:p>
    <w:p>
      <w:r>
        <w:t xml:space="preserve">(3) </w:t>
      </w:r>
      <w:r>
        <w:rPr>
          <w:rStyle w:val="Satznummer"/>
        </w:rPr>
        <w:t>1</w:t>
      </w:r>
      <w:r>
        <w:t xml:space="preserve">Eine Übertragung auf den Einzelrichter ist ausgeschlossen; einer Güteverhandlung bedarf es nicht. </w:t>
      </w:r>
      <w:r>
        <w:rPr>
          <w:rStyle w:val="Satznummer"/>
        </w:rPr>
        <w:t>2</w:t>
      </w:r>
      <w:r>
        <w:t xml:space="preserve">In dringenden Fällen kann auf eine mündliche Verhandlung verzichtet werden. </w:t>
      </w:r>
      <w:r>
        <w:rPr>
          <w:rStyle w:val="Satznummer"/>
        </w:rPr>
        <w:t>3</w:t>
      </w:r>
      <w:r>
        <w:t xml:space="preserve">Die vorgebrachten Tatsachen, auf Grund deren der Beschluss ergehen kann, sind glaubhaft zu machen. </w:t>
      </w:r>
      <w:r>
        <w:rPr>
          <w:rStyle w:val="Satznummer"/>
        </w:rPr>
        <w:t>4</w:t>
      </w:r>
      <w:r>
        <w:t xml:space="preserve">Der Beschluss ist unanfechtbar. </w:t>
      </w:r>
      <w:r>
        <w:rPr>
          <w:rStyle w:val="Satznummer"/>
        </w:rPr>
        <w:t>5</w:t>
      </w:r>
      <w:r>
        <w:t xml:space="preserve">Er ist für das Registergericht bindend; die Feststellung der Bestandskraft der Eintragung wirkt für und gegen jedermann. </w:t>
      </w:r>
      <w:r>
        <w:rPr>
          <w:rStyle w:val="Satznummer"/>
        </w:rPr>
        <w:t>6</w:t>
      </w:r>
      <w:r>
        <w:t>Der Beschluss soll spätestens drei Monate nach Antragstellung ergehen; Verzögerungen der Entscheidung sind durch unanfechtbaren Beschluss zu begründen.</w:t>
      </w:r>
    </w:p>
    <w:p>
      <w:r>
        <w:t xml:space="preserve">(4) </w:t>
      </w:r>
      <w:r>
        <w:rPr>
          <w:rStyle w:val="Satznummer"/>
        </w:rPr>
        <w:t>1</w:t>
      </w:r>
      <w:r>
        <w:t xml:space="preserve">Erweist sich die Klage als begründet, so ist die Gesellschaft, die den Beschluss erwirkt hat, verpflichtet, dem Antragsgegner den Schaden zu ersetzen, der ihm aus einer auf dem Beschluss beruhenden Eintragung des Hauptversammlungsbeschlusses entstanden ist. </w:t>
      </w:r>
      <w:r>
        <w:rPr>
          <w:rStyle w:val="Satznummer"/>
        </w:rPr>
        <w:t>2</w:t>
      </w:r>
      <w:r>
        <w:t>Nach der Eintragung lassen Mängel des Beschlusses seine Durchführung unberührt; die Beseitigung dieser Wirkung der Eintragung kann auch nicht als Schadensersatz verlangt werden.</w:t>
      </w:r>
    </w:p>
    <w:p>
      <w:pPr>
        <w:pStyle w:val="Heading5"/>
      </w:pPr>
      <w:bookmarkStart w:id="312" w:name="b311"/>
      <w:r>
        <w:t>§ 247 Streitwert</w:t>
      </w:r>
      <w:r>
        <w:t xml:space="preserve"> </w:t>
      </w:r>
      <w:r>
        <w:rPr>
          <w:rStyle w:val="Suchmarke"/>
        </w:rPr>
        <w:t>#247#</w:t>
      </w:r>
      <w:bookmarkEnd w:id="312"/>
    </w:p>
    <w:p>
      <w:r>
        <w:t xml:space="preserve">(1) </w:t>
      </w:r>
      <w:r>
        <w:rPr>
          <w:rStyle w:val="Satznummer"/>
        </w:rPr>
        <w:t>1</w:t>
      </w:r>
      <w:r>
        <w:t xml:space="preserve">Den Streitwert bestimmt das Prozeßgericht unter Berücksichtigung aller Umstände des einzelnen Falles, insbesondere der Bedeutung der Sache für die Parteien, nach billigem Ermessen. </w:t>
      </w:r>
      <w:r>
        <w:rPr>
          <w:rStyle w:val="Satznummer"/>
        </w:rPr>
        <w:t>2</w:t>
      </w:r>
      <w:r>
        <w:t>Er darf jedoch ein Zehntel des Grundkapitals oder, wenn dieses Zehntel mehr als 500.000 Euro beträgt, 500.000 Euro nur insoweit übersteigen, als die Bedeutung der Sache für den Kläger höher zu bewerten ist.</w:t>
      </w:r>
    </w:p>
    <w:p>
      <w:r>
        <w:t xml:space="preserve">(2) </w:t>
      </w:r>
      <w:r>
        <w:rPr>
          <w:rStyle w:val="Satznummer"/>
        </w:rPr>
        <w:t>1</w:t>
      </w:r>
      <w:r>
        <w:t xml:space="preserve">Macht eine Partei glaubhaft, daß die Belastung mit den Prozeßkosten nach dem gemäß Absatz 1 bestimmten Streitwert ihre wirtschaftliche Lage erheblich gefährden würde, so kann das Prozeßgericht auf ihren Antrag anordnen, daß ihre Verpflichtung zur Zahlung von Gerichtskosten sich nach einem ihrer Wirtschaftslage angepaßten Teil des Streitwerts bemißt. </w:t>
      </w:r>
      <w:r>
        <w:rPr>
          <w:rStyle w:val="Satznummer"/>
        </w:rPr>
        <w:t>2</w:t>
      </w:r>
      <w:r>
        <w:t xml:space="preserve">Die Anordnung hat zur Folge, daß die begünstigte Partei die Gebühren ihres Rechtsanwalts ebenfalls nur nach diesem Teil des Streitwerts zu entrichten hat. </w:t>
      </w:r>
      <w:r>
        <w:rPr>
          <w:rStyle w:val="Satznummer"/>
        </w:rPr>
        <w:t>3</w:t>
      </w:r>
      <w:r>
        <w:t xml:space="preserve">Soweit ihr Kosten des Rechtsstreits auferlegt werden oder soweit sie diese übernimmt, hat sie die von dem Gegner entrichteten Gerichtsgebühren und die Gebühren seines Rechtsanwalts nur nach dem Teil des Streitwerts zu erstatten. </w:t>
      </w:r>
      <w:r>
        <w:rPr>
          <w:rStyle w:val="Satznummer"/>
        </w:rPr>
        <w:t>4</w:t>
      </w:r>
      <w:r>
        <w:t>Soweit die außergerichtlichen Kosten dem Gegner auferlegt oder von ihm übernommen werden, kann der Rechtsanwalt der begünstigten Partei seine Gebühren von dem Gegner nach dem für diesen geltenden Streitwert beitreiben.</w:t>
      </w:r>
    </w:p>
    <w:p>
      <w:r>
        <w:t xml:space="preserve">(3) </w:t>
      </w:r>
      <w:r>
        <w:rPr>
          <w:rStyle w:val="Satznummer"/>
        </w:rPr>
        <w:t>1</w:t>
      </w:r>
      <w:r>
        <w:t xml:space="preserve">Der Antrag nach Absatz 2 kann vor der Geschäftsstelle des Prozeßgerichts zur Niederschrift erklärt werden. </w:t>
      </w:r>
      <w:r>
        <w:rPr>
          <w:rStyle w:val="Satznummer"/>
        </w:rPr>
        <w:t>2</w:t>
      </w:r>
      <w:r>
        <w:t xml:space="preserve">Er ist vor der Verhandlung zur Hauptsache anzubringen. </w:t>
      </w:r>
      <w:r>
        <w:rPr>
          <w:rStyle w:val="Satznummer"/>
        </w:rPr>
        <w:t>3</w:t>
      </w:r>
      <w:r>
        <w:t xml:space="preserve">Später ist er nur zulässig, wenn der angenommene oder festgesetzte Streitwert durch das Prozeßgericht heraufgesetzt wird. </w:t>
      </w:r>
      <w:r>
        <w:rPr>
          <w:rStyle w:val="Satznummer"/>
        </w:rPr>
        <w:t>4</w:t>
      </w:r>
      <w:r>
        <w:t>Vor der Entscheidung über den Antrag ist der Gegner zu hören.</w:t>
      </w:r>
    </w:p>
    <w:p>
      <w:pPr>
        <w:pStyle w:val="Heading5"/>
      </w:pPr>
      <w:bookmarkStart w:id="313" w:name="b312"/>
      <w:r>
        <w:t>§ 248 Urteilswirkung</w:t>
      </w:r>
      <w:r>
        <w:t xml:space="preserve"> </w:t>
      </w:r>
      <w:r>
        <w:rPr>
          <w:rStyle w:val="Suchmarke"/>
        </w:rPr>
        <w:t>#248#</w:t>
      </w:r>
      <w:bookmarkEnd w:id="313"/>
    </w:p>
    <w:p>
      <w:r>
        <w:t xml:space="preserve">(1) </w:t>
      </w:r>
      <w:r>
        <w:rPr>
          <w:rStyle w:val="Satznummer"/>
        </w:rPr>
        <w:t>1</w:t>
      </w:r>
      <w:r>
        <w:t xml:space="preserve">Soweit der Beschluß durch rechtskräftiges Urteil für nichtig erklärt ist, wirkt das Urteil für und gegen alle Aktionäre sowie die Mitglieder des Vorstands und des Aufsichtsrats, auch wenn sie nicht Partei sind. </w:t>
      </w:r>
      <w:r>
        <w:rPr>
          <w:rStyle w:val="Satznummer"/>
        </w:rPr>
        <w:t>2</w:t>
      </w:r>
      <w:r>
        <w:t xml:space="preserve">Der Vorstand hat das Urteil unverzüglich zum Handelsregister einzureichen. </w:t>
      </w:r>
      <w:r>
        <w:rPr>
          <w:rStyle w:val="Satznummer"/>
        </w:rPr>
        <w:t>3</w:t>
      </w:r>
      <w:r>
        <w:t xml:space="preserve">War der Beschluß in das Handelsregister eingetragen, so ist auch das Urteil einzutragen. </w:t>
      </w:r>
      <w:r>
        <w:rPr>
          <w:rStyle w:val="Satznummer"/>
        </w:rPr>
        <w:t>4</w:t>
      </w:r>
      <w:r>
        <w:t>Die Eintragung des Urteils ist in gleicher Weise wie die des Beschlusses bekanntzumachen.</w:t>
      </w:r>
    </w:p>
    <w:p>
      <w:r>
        <w:t>(2) Hatte der Beschluß eine Satzungsänderung zum Inhalt, so ist mit dem Urteil der vollständige Wortlaut der Satzung, wie er sich unter Berücksichtigung des Urteils und aller bisherigen Satzungsänderungen ergibt, mit der Bescheinigung eines Notars über diese Tatsache zum Handelsregister einzureichen.</w:t>
      </w:r>
    </w:p>
    <w:p>
      <w:pPr>
        <w:pStyle w:val="Heading5"/>
      </w:pPr>
      <w:bookmarkStart w:id="314" w:name="b313"/>
      <w:r>
        <w:t>§ 248a Bekanntmachungen zur Anfechtungsklage</w:t>
      </w:r>
      <w:r>
        <w:t xml:space="preserve"> </w:t>
      </w:r>
      <w:r>
        <w:rPr>
          <w:rStyle w:val="Suchmarke"/>
        </w:rPr>
        <w:t>#248a#</w:t>
      </w:r>
      <w:bookmarkEnd w:id="314"/>
    </w:p>
    <w:p>
      <w:r>
        <w:rPr>
          <w:rStyle w:val="Satznummer"/>
        </w:rPr>
        <w:t>1</w:t>
      </w:r>
      <w:r>
        <w:t xml:space="preserve">Wird der Anfechtungsprozess beendet, hat die börsennotierte Gesellschaft die Verfahrensbeendigung unverzüglich in den Gesellschaftsblättern bekannt zu machen. </w:t>
      </w:r>
      <w:r>
        <w:rPr>
          <w:rStyle w:val="Satznummer"/>
        </w:rPr>
        <w:t>2</w:t>
      </w:r>
      <w:hyperlink w:anchor="b193" w:history="1">
        <w:r>
          <w:rPr>
            <w:color w:val="0A3A8C"/>
            <w:u w:val="single"/>
          </w:rPr>
          <w:t xml:space="preserve">§ 149</w:t>
        </w:r>
      </w:hyperlink>
      <w:r>
        <w:t xml:space="preserve"> Abs. 2 und 3 ist entsprechend anzuwenden.</w:t>
      </w:r>
    </w:p>
    <w:p>
      <w:pPr>
        <w:pStyle w:val="Heading5"/>
      </w:pPr>
      <w:bookmarkStart w:id="315" w:name="b314"/>
      <w:r>
        <w:t>§ 249 Nichtigkeitsklage</w:t>
      </w:r>
      <w:r>
        <w:t xml:space="preserve"> </w:t>
      </w:r>
      <w:r>
        <w:rPr>
          <w:rStyle w:val="Suchmarke"/>
        </w:rPr>
        <w:t>#249#</w:t>
      </w:r>
      <w:bookmarkEnd w:id="315"/>
    </w:p>
    <w:p>
      <w:r>
        <w:t xml:space="preserve">(1) </w:t>
      </w:r>
      <w:r>
        <w:rPr>
          <w:rStyle w:val="Satznummer"/>
        </w:rPr>
        <w:t>1</w:t>
      </w:r>
      <w:r>
        <w:t xml:space="preserve">Erhebt ein Aktionär, der Vorstand oder ein Mitglied des Vorstands oder des Aufsichtsrats Klage auf Feststellung der Nichtigkeit eines Hauptversammlungsbeschlusses gegen die Gesellschaft, so finden </w:t>
      </w:r>
      <w:hyperlink w:anchor="b309" w:history="1">
        <w:r>
          <w:rPr>
            <w:color w:val="0A3A8C"/>
            <w:u w:val="single"/>
          </w:rPr>
          <w:t xml:space="preserve">§ 246</w:t>
        </w:r>
      </w:hyperlink>
      <w:r>
        <w:t xml:space="preserve"> Abs. 2, Abs. 3 Satz 1 bis 5, Abs. 4, </w:t>
      </w:r>
      <w:hyperlink w:anchor="b310" w:history="1">
        <w:r>
          <w:rPr>
            <w:color w:val="0A3A8C"/>
            <w:u w:val="single"/>
          </w:rPr>
          <w:t xml:space="preserve">§§ 246a</w:t>
        </w:r>
      </w:hyperlink>
      <w:r>
        <w:t xml:space="preserve">, </w:t>
      </w:r>
      <w:hyperlink w:anchor="b311" w:history="1">
        <w:r>
          <w:rPr>
            <w:color w:val="0A3A8C"/>
            <w:u w:val="single"/>
          </w:rPr>
          <w:t xml:space="preserve">247</w:t>
        </w:r>
      </w:hyperlink>
      <w:r>
        <w:t xml:space="preserve">, </w:t>
      </w:r>
      <w:hyperlink w:anchor="b312" w:history="1">
        <w:r>
          <w:rPr>
            <w:color w:val="0A3A8C"/>
            <w:u w:val="single"/>
          </w:rPr>
          <w:t xml:space="preserve">248</w:t>
        </w:r>
      </w:hyperlink>
      <w:r>
        <w:t xml:space="preserve"> und </w:t>
      </w:r>
      <w:hyperlink w:anchor="b313" w:history="1">
        <w:r>
          <w:rPr>
            <w:color w:val="0A3A8C"/>
            <w:u w:val="single"/>
          </w:rPr>
          <w:t xml:space="preserve">248a</w:t>
        </w:r>
      </w:hyperlink>
      <w:r>
        <w:t xml:space="preserve"> entsprechende Anwendung. </w:t>
      </w:r>
      <w:r>
        <w:rPr>
          <w:rStyle w:val="Satznummer"/>
        </w:rPr>
        <w:t>2</w:t>
      </w:r>
      <w:r>
        <w:t xml:space="preserve">Es ist nicht ausgeschlossen, die Nichtigkeit auf andere Weise als durch Erhebung der Klage geltend zu machen. </w:t>
      </w:r>
      <w:r>
        <w:rPr>
          <w:rStyle w:val="Satznummer"/>
        </w:rPr>
        <w:t>3</w:t>
      </w:r>
      <w:r>
        <w:t>Schafft der Hauptversammlungsbeschluss Voraussetzungen für eine Umwandlung nach § 1 des Umwandlungsgesetzes und ist der Umwandlungsbeschluss eingetragen, so gilt § 20 Abs. 2 des Umwandlungsgesetzes für den Hauptversammlungsbeschluss entsprechend.</w:t>
      </w:r>
    </w:p>
    <w:p>
      <w:r>
        <w:t xml:space="preserve">(2) </w:t>
      </w:r>
      <w:r>
        <w:rPr>
          <w:rStyle w:val="Satznummer"/>
        </w:rPr>
        <w:t>1</w:t>
      </w:r>
      <w:r>
        <w:t xml:space="preserve">Mehrere Nichtigkeitsprozesse sind zur gleichzeitigen Verhandlung und Entscheidung zu verbinden. </w:t>
      </w:r>
      <w:r>
        <w:rPr>
          <w:rStyle w:val="Satznummer"/>
        </w:rPr>
        <w:t>2</w:t>
      </w:r>
      <w:r>
        <w:t>Nichtigkeits- und Anfechtungsprozesse können verbunden werden.</w:t>
      </w:r>
    </w:p>
    <w:p>
      <w:pPr>
        <w:pStyle w:val="Heading4"/>
      </w:pPr>
      <w:bookmarkStart w:id="316" w:name="b315"/>
      <w:r>
        <w:t>Zweiter Unterabschnitt Nichtigkeit bestimmter Hauptversammlungsbeschlüsse</w:t>
      </w:r>
      <w:bookmarkEnd w:id="316"/>
    </w:p>
    <w:p>
      <w:pPr>
        <w:pStyle w:val="Heading5"/>
      </w:pPr>
      <w:bookmarkStart w:id="317" w:name="b316"/>
      <w:r>
        <w:t>§ 250 Nichtigkeit der Wahl von Aufsichtsratsmitgliedern</w:t>
      </w:r>
      <w:r>
        <w:t xml:space="preserve"> </w:t>
      </w:r>
      <w:r>
        <w:rPr>
          <w:rStyle w:val="Suchmarke"/>
        </w:rPr>
        <w:t>#250#</w:t>
      </w:r>
      <w:bookmarkEnd w:id="317"/>
    </w:p>
    <w:p>
      <w:r>
        <w:t xml:space="preserve">(1) Die Wahl eines Aufsichtsratsmitglieds durch die Hauptversammlung ist außer im Falle des </w:t>
      </w:r>
      <w:hyperlink w:anchor="b304" w:history="1">
        <w:r>
          <w:rPr>
            <w:color w:val="0A3A8C"/>
            <w:u w:val="single"/>
          </w:rPr>
          <w:t xml:space="preserve">§ 241</w:t>
        </w:r>
      </w:hyperlink>
      <w:r>
        <w:t xml:space="preserve"> Nr. 1, 2 und 5 nur dann nichtig, wenn</w:t>
      </w:r>
    </w:p>
    <w:p>
      <w:pPr>
        <w:tabs>
          <w:tab w:pos="567" w:val="left"/>
        </w:tabs>
        <w:ind w:left="567" w:hanging="567"/>
      </w:pPr>
      <w:r>
        <w:t>1.</w:t>
      </w:r>
      <w:r>
        <w:tab/>
      </w:r>
      <w:r>
        <w:t xml:space="preserve">der Aufsichtsrat unter Verstoß gegen </w:t>
      </w:r>
      <w:hyperlink w:anchor="b118" w:history="1">
        <w:r>
          <w:rPr>
            <w:color w:val="0A3A8C"/>
            <w:u w:val="single"/>
          </w:rPr>
          <w:t xml:space="preserve">§ 96</w:t>
        </w:r>
      </w:hyperlink>
      <w:r>
        <w:t xml:space="preserve"> Absatz 4, </w:t>
      </w:r>
      <w:hyperlink w:anchor="b119" w:history="1">
        <w:r>
          <w:rPr>
            <w:color w:val="0A3A8C"/>
            <w:u w:val="single"/>
          </w:rPr>
          <w:t xml:space="preserve">§ 97</w:t>
        </w:r>
      </w:hyperlink>
      <w:r>
        <w:t xml:space="preserve"> Abs. 2 Satz 1 oder </w:t>
      </w:r>
      <w:hyperlink w:anchor="b120" w:history="1">
        <w:r>
          <w:rPr>
            <w:color w:val="0A3A8C"/>
            <w:u w:val="single"/>
          </w:rPr>
          <w:t xml:space="preserve">§ 98</w:t>
        </w:r>
      </w:hyperlink>
      <w:r>
        <w:t xml:space="preserve"> Abs. 4 zusammengesetzt wird;</w:t>
      </w:r>
    </w:p>
    <w:p>
      <w:pPr>
        <w:tabs>
          <w:tab w:pos="567" w:val="left"/>
        </w:tabs>
        <w:ind w:left="567" w:hanging="567"/>
      </w:pPr>
      <w:r>
        <w:t>2.</w:t>
      </w:r>
      <w:r>
        <w:tab/>
      </w:r>
      <w:r>
        <w:t>die Hauptversammlung, obwohl sie an Wahlvorschläge gebunden ist (§§ 6 und 8 des Montan-Mitbestimmungsgesetzes), eine nicht vorgeschlagene Person wählt;</w:t>
      </w:r>
    </w:p>
    <w:p>
      <w:pPr>
        <w:tabs>
          <w:tab w:pos="567" w:val="left"/>
        </w:tabs>
        <w:ind w:left="567" w:hanging="567"/>
      </w:pPr>
      <w:r>
        <w:t>3.</w:t>
      </w:r>
      <w:r>
        <w:tab/>
      </w:r>
      <w:r>
        <w:t>durch die Wahl die gesetzliche Höchstzahl der Aufsichtsratsmitglieder überschritten wird (</w:t>
      </w:r>
      <w:hyperlink w:anchor="b117" w:history="1">
        <w:r>
          <w:rPr>
            <w:color w:val="0A3A8C"/>
            <w:u w:val="single"/>
          </w:rPr>
          <w:t xml:space="preserve">§ 95</w:t>
        </w:r>
      </w:hyperlink>
      <w:r>
        <w:t>);</w:t>
      </w:r>
    </w:p>
    <w:p>
      <w:pPr>
        <w:tabs>
          <w:tab w:pos="567" w:val="left"/>
        </w:tabs>
        <w:ind w:left="567" w:hanging="567"/>
      </w:pPr>
      <w:r>
        <w:t>4.</w:t>
      </w:r>
      <w:r>
        <w:tab/>
      </w:r>
      <w:r>
        <w:t xml:space="preserve">die gewählte Person nach </w:t>
      </w:r>
      <w:hyperlink w:anchor="b122" w:history="1">
        <w:r>
          <w:rPr>
            <w:color w:val="0A3A8C"/>
            <w:u w:val="single"/>
          </w:rPr>
          <w:t xml:space="preserve">§ 100</w:t>
        </w:r>
      </w:hyperlink>
      <w:r>
        <w:t xml:space="preserve"> Abs. 1 und 2 bei Beginn ihrer Amtszeit nicht Aufsichtsratsmitglied sein kann;</w:t>
      </w:r>
    </w:p>
    <w:p>
      <w:pPr>
        <w:tabs>
          <w:tab w:pos="567" w:val="left"/>
        </w:tabs>
        <w:ind w:left="567" w:hanging="567"/>
      </w:pPr>
      <w:r>
        <w:t>5.</w:t>
      </w:r>
      <w:r>
        <w:tab/>
      </w:r>
      <w:r>
        <w:t xml:space="preserve">die Wahl gegen </w:t>
      </w:r>
      <w:hyperlink w:anchor="b118" w:history="1">
        <w:r>
          <w:rPr>
            <w:color w:val="0A3A8C"/>
            <w:u w:val="single"/>
          </w:rPr>
          <w:t xml:space="preserve">§ 96</w:t>
        </w:r>
      </w:hyperlink>
      <w:r>
        <w:t xml:space="preserve"> Absatz 2 verstößt.</w:t>
      </w:r>
    </w:p>
    <w:p>
      <w:r>
        <w:t>(2) Für die Klage auf Feststellung, daß die Wahl eines Aufsichtsratsmitglieds nichtig ist, sind parteifähig</w:t>
      </w:r>
    </w:p>
    <w:p>
      <w:pPr>
        <w:tabs>
          <w:tab w:pos="567" w:val="left"/>
        </w:tabs>
        <w:ind w:left="567" w:hanging="567"/>
      </w:pPr>
      <w:r>
        <w:t>1.</w:t>
      </w:r>
      <w:r>
        <w:tab/>
      </w:r>
      <w:r>
        <w:t>der Gesamtbetriebsrat der Gesellschaft oder, wenn in der Gesellschaft nur ein Betriebsrat besteht, der Betriebsrat, sowie, wenn die Gesellschaft herrschendes Unternehmen eines Konzerns ist, der Konzernbetriebsrat,</w:t>
      </w:r>
    </w:p>
    <w:p>
      <w:pPr>
        <w:tabs>
          <w:tab w:pos="567" w:val="left"/>
        </w:tabs>
        <w:ind w:left="567" w:hanging="567"/>
      </w:pPr>
      <w:r>
        <w:t>2.</w:t>
      </w:r>
      <w:r>
        <w:tab/>
      </w:r>
      <w:r>
        <w:t>der Gesamt- oder Unternehmenssprecherausschuss der Gesellschaft oder, wenn in der Gesellschaft nur ein Sprecherausschuss besteht, der Sprecherausschuss sowie, wenn die Gesellschaft herrschendes Unternehmen eines Konzerns ist, der Konzernsprecherausschuss,</w:t>
      </w:r>
    </w:p>
    <w:p>
      <w:pPr>
        <w:tabs>
          <w:tab w:pos="567" w:val="left"/>
        </w:tabs>
        <w:ind w:left="567" w:hanging="567"/>
      </w:pPr>
      <w:r>
        <w:t>3.</w:t>
      </w:r>
      <w:r>
        <w:tab/>
      </w:r>
      <w:r>
        <w:t>der Gesamtbetriebsrat eines anderen Unternehmens, dessen Arbeitnehmer selbst oder durch Delegierte an der Wahl von Aufsichtsratsmitgliedern der Gesellschaft teilnehmen, oder, wenn in dem anderen Unternehmen nur ein Betriebsrat besteht, der Betriebsrat,</w:t>
      </w:r>
    </w:p>
    <w:p>
      <w:pPr>
        <w:tabs>
          <w:tab w:pos="567" w:val="left"/>
        </w:tabs>
        <w:ind w:left="567" w:hanging="567"/>
      </w:pPr>
      <w:r>
        <w:t>4.</w:t>
      </w:r>
      <w:r>
        <w:tab/>
      </w:r>
      <w:r>
        <w:t>der Gesamt- oder Unternehmenssprecherausschuss eines anderen Unternehmens, dessen Arbeitnehmer selbst oder durch Delegierte an der Wahl von Aufsichtsratsmitgliedern der Gesellschaft teilnehmen, oder, wenn in dem anderen Unternehmen nur ein Sprecherausschuss besteht, der Sprecherausschuss,</w:t>
      </w:r>
    </w:p>
    <w:p>
      <w:pPr>
        <w:tabs>
          <w:tab w:pos="567" w:val="left"/>
        </w:tabs>
        <w:ind w:left="567" w:hanging="567"/>
      </w:pPr>
      <w:r>
        <w:t>5.</w:t>
      </w:r>
      <w:r>
        <w:tab/>
      </w:r>
      <w:r>
        <w:t>jede in der Gesellschaft oder in einem Unternehmen, dessen Arbeitnehmer selbst oder durch Delegierte an der Wahl von Aufsichtsratsmitgliedern der Gesellschaft teilnehmen, vertretene Gewerkschaft sowie deren Spitzenorganisation.</w:t>
      </w:r>
    </w:p>
    <w:p>
      <w:r>
        <w:t xml:space="preserve">(3) </w:t>
      </w:r>
      <w:r>
        <w:rPr>
          <w:rStyle w:val="Satznummer"/>
        </w:rPr>
        <w:t>1</w:t>
      </w:r>
      <w:r>
        <w:t xml:space="preserve">Erhebt ein Aktionär, der Vorstand, ein Mitglied des Vorstands oder des Aufsichtsrats oder eine in Absatz 2 bezeichnete Organisation oder Vertretung der Arbeitnehmer gegen die Gesellschaft Klage auf Feststellung, dass die Wahl eines Aufsichtsratsmitglieds nichtig ist, so gelten </w:t>
      </w:r>
      <w:hyperlink w:anchor="b309" w:history="1">
        <w:r>
          <w:rPr>
            <w:color w:val="0A3A8C"/>
            <w:u w:val="single"/>
          </w:rPr>
          <w:t xml:space="preserve">§ 246</w:t>
        </w:r>
      </w:hyperlink>
      <w:r>
        <w:t xml:space="preserve"> Abs. 2, Abs. 3 Satz 1 bis 4, Abs. 4, </w:t>
      </w:r>
      <w:hyperlink w:anchor="b311" w:history="1">
        <w:r>
          <w:rPr>
            <w:color w:val="0A3A8C"/>
            <w:u w:val="single"/>
          </w:rPr>
          <w:t xml:space="preserve">§§ 247</w:t>
        </w:r>
      </w:hyperlink>
      <w:r>
        <w:t xml:space="preserve">, </w:t>
      </w:r>
      <w:hyperlink w:anchor="b312" w:history="1">
        <w:r>
          <w:rPr>
            <w:color w:val="0A3A8C"/>
            <w:u w:val="single"/>
          </w:rPr>
          <w:t xml:space="preserve">248</w:t>
        </w:r>
      </w:hyperlink>
      <w:r>
        <w:t xml:space="preserve"> Abs. 1 Satz 2, </w:t>
      </w:r>
      <w:hyperlink w:anchor="b313" w:history="1">
        <w:r>
          <w:rPr>
            <w:color w:val="0A3A8C"/>
            <w:u w:val="single"/>
          </w:rPr>
          <w:t xml:space="preserve">§§ 248a</w:t>
        </w:r>
      </w:hyperlink>
      <w:r>
        <w:t xml:space="preserve"> und </w:t>
      </w:r>
      <w:hyperlink w:anchor="b314" w:history="1">
        <w:r>
          <w:rPr>
            <w:color w:val="0A3A8C"/>
            <w:u w:val="single"/>
          </w:rPr>
          <w:t xml:space="preserve">249</w:t>
        </w:r>
      </w:hyperlink>
      <w:r>
        <w:t xml:space="preserve"> Abs. 2 sinngemäß. </w:t>
      </w:r>
      <w:r>
        <w:rPr>
          <w:rStyle w:val="Satznummer"/>
        </w:rPr>
        <w:t>2</w:t>
      </w:r>
      <w:r>
        <w:t>Es ist nicht ausgeschlossen, die Nichtigkeit auf andere Weise als durch Erhebung der Klage geltend zu machen.</w:t>
      </w:r>
    </w:p>
    <w:p>
      <w:pPr>
        <w:pStyle w:val="Heading5"/>
      </w:pPr>
      <w:bookmarkStart w:id="318" w:name="b317"/>
      <w:r>
        <w:t>§ 251 Anfechtung der Wahl von Aufsichtsratsmitgliedern</w:t>
      </w:r>
      <w:r>
        <w:t xml:space="preserve"> </w:t>
      </w:r>
      <w:r>
        <w:rPr>
          <w:rStyle w:val="Suchmarke"/>
        </w:rPr>
        <w:t>#251#</w:t>
      </w:r>
      <w:bookmarkEnd w:id="318"/>
    </w:p>
    <w:p>
      <w:r>
        <w:t xml:space="preserve">(1) </w:t>
      </w:r>
      <w:r>
        <w:rPr>
          <w:rStyle w:val="Satznummer"/>
        </w:rPr>
        <w:t>1</w:t>
      </w:r>
      <w:r>
        <w:t xml:space="preserve">Die Wahl eines Aufsichtsratsmitglieds durch die Hauptversammlung kann wegen Verletzung des Gesetzes oder der Satzung durch Klage angefochten werden. </w:t>
      </w:r>
      <w:r>
        <w:rPr>
          <w:rStyle w:val="Satznummer"/>
        </w:rPr>
        <w:t>2</w:t>
      </w:r>
      <w:r>
        <w:t xml:space="preserve">Ist die Hauptversammlung an Wahlvorschläge gebunden, so kann die Anfechtung auch darauf gestützt werden, daß der Wahlvorschlag gesetzwidrig zustande gekommen ist. </w:t>
      </w:r>
      <w:r>
        <w:rPr>
          <w:rStyle w:val="Satznummer"/>
        </w:rPr>
        <w:t>3</w:t>
      </w:r>
      <w:hyperlink w:anchor="b306" w:history="1">
        <w:r>
          <w:rPr>
            <w:color w:val="0A3A8C"/>
            <w:u w:val="single"/>
          </w:rPr>
          <w:t xml:space="preserve">§ 243</w:t>
        </w:r>
      </w:hyperlink>
      <w:r>
        <w:t xml:space="preserve"> Abs. 4 und </w:t>
      </w:r>
      <w:hyperlink w:anchor="b307" w:history="1">
        <w:r>
          <w:rPr>
            <w:color w:val="0A3A8C"/>
            <w:u w:val="single"/>
          </w:rPr>
          <w:t xml:space="preserve">§ 244</w:t>
        </w:r>
      </w:hyperlink>
      <w:r>
        <w:t xml:space="preserve"> gelten.</w:t>
      </w:r>
    </w:p>
    <w:p>
      <w:r>
        <w:t xml:space="preserve">(2) </w:t>
      </w:r>
      <w:r>
        <w:rPr>
          <w:rStyle w:val="Satznummer"/>
        </w:rPr>
        <w:t>1</w:t>
      </w:r>
      <w:r>
        <w:t xml:space="preserve">Für die Anfechtungsbefugnis gilt </w:t>
      </w:r>
      <w:hyperlink w:anchor="b308" w:history="1">
        <w:r>
          <w:rPr>
            <w:color w:val="0A3A8C"/>
            <w:u w:val="single"/>
          </w:rPr>
          <w:t xml:space="preserve">§ 245</w:t>
        </w:r>
      </w:hyperlink>
      <w:r>
        <w:t xml:space="preserve"> Satz 1 Nummer 1, 2 und 4 sowie Satz 2. </w:t>
      </w:r>
      <w:r>
        <w:rPr>
          <w:rStyle w:val="Satznummer"/>
        </w:rPr>
        <w:t>2</w:t>
      </w:r>
      <w:r>
        <w:t xml:space="preserve">Die Wahl eines Aufsichtsratsmitglieds, das nach dem Montan-Mitbestimmungsgesetz auf Vorschlag der Betriebsräte gewählt worden ist, kann auch von jedem Betriebsrat eines Betriebs der Gesellschaft, jeder in den Betrieben der Gesellschaft vertretenen Gewerkschaft oder deren Spitzenorganisation angefochten werden. </w:t>
      </w:r>
      <w:r>
        <w:rPr>
          <w:rStyle w:val="Satznummer"/>
        </w:rPr>
        <w:t>3</w:t>
      </w:r>
      <w:r>
        <w:t>Die Wahl eines weiteren Mitglieds, das nach dem Montan-Mitbestimmungsgesetz oder dem Mitbestimmungsergänzungsgesetz auf Vorschlag der übrigen Aufsichtsratsmitglieder gewählt worden ist, kann auch von jedem Aufsichtsratsmitglied angefochten werden.</w:t>
      </w:r>
    </w:p>
    <w:p>
      <w:r>
        <w:t xml:space="preserve">(3) Für das Anfechtungsverfahren gelten die </w:t>
      </w:r>
      <w:hyperlink w:anchor="b309" w:history="1">
        <w:r>
          <w:rPr>
            <w:color w:val="0A3A8C"/>
            <w:u w:val="single"/>
          </w:rPr>
          <w:t xml:space="preserve">§§ 246</w:t>
        </w:r>
      </w:hyperlink>
      <w:r>
        <w:t xml:space="preserve">, </w:t>
      </w:r>
      <w:hyperlink w:anchor="b311" w:history="1">
        <w:r>
          <w:rPr>
            <w:color w:val="0A3A8C"/>
            <w:u w:val="single"/>
          </w:rPr>
          <w:t xml:space="preserve">247</w:t>
        </w:r>
      </w:hyperlink>
      <w:r>
        <w:t xml:space="preserve">, </w:t>
      </w:r>
      <w:hyperlink w:anchor="b312" w:history="1">
        <w:r>
          <w:rPr>
            <w:color w:val="0A3A8C"/>
            <w:u w:val="single"/>
          </w:rPr>
          <w:t xml:space="preserve">248</w:t>
        </w:r>
      </w:hyperlink>
      <w:r>
        <w:t xml:space="preserve"> Abs. 1 Satz 2 und </w:t>
      </w:r>
      <w:hyperlink w:anchor="b313" w:history="1">
        <w:r>
          <w:rPr>
            <w:color w:val="0A3A8C"/>
            <w:u w:val="single"/>
          </w:rPr>
          <w:t xml:space="preserve">§ 248a</w:t>
        </w:r>
      </w:hyperlink>
      <w:r>
        <w:t>.</w:t>
      </w:r>
    </w:p>
    <w:p>
      <w:pPr>
        <w:pStyle w:val="Heading5"/>
      </w:pPr>
      <w:bookmarkStart w:id="319" w:name="b318"/>
      <w:r>
        <w:t>§ 252 Urteilswirkung</w:t>
      </w:r>
      <w:r>
        <w:t xml:space="preserve"> </w:t>
      </w:r>
      <w:r>
        <w:rPr>
          <w:rStyle w:val="Suchmarke"/>
        </w:rPr>
        <w:t>#252#</w:t>
      </w:r>
      <w:bookmarkEnd w:id="319"/>
    </w:p>
    <w:p>
      <w:r>
        <w:t xml:space="preserve">(1) Erhebt ein Aktionär, der Vorstand, ein Mitglied des Vorstands oder des Aufsichtsrats oder eine in </w:t>
      </w:r>
      <w:hyperlink w:anchor="b316" w:history="1">
        <w:r>
          <w:rPr>
            <w:color w:val="0A3A8C"/>
            <w:u w:val="single"/>
          </w:rPr>
          <w:t xml:space="preserve">§ 250</w:t>
        </w:r>
      </w:hyperlink>
      <w:r>
        <w:t xml:space="preserve"> Abs. 2 bezeichnete Organisation oder Vertretung der Arbeitnehmer gegen die Gesellschaft Klage auf Feststellung, daß die Wahl eines Aufsichtsratsmitglieds durch die Hauptversammlung nichtig ist, so wirkt ein Urteil, das die Nichtigkeit der Wahl rechtskräftig feststellt, für und gegen alle Aktionäre und Arbeitnehmer der Gesellschaft, alle Arbeitnehmer von anderen Unternehmen, deren Arbeitnehmer selbst oder durch Delegierte an der Wahl von Aufsichtsratsmitgliedern der Gesellschaft teilnehmen, die Mitglieder des Vorstands und des Aufsichtsrats sowie die in </w:t>
      </w:r>
      <w:hyperlink w:anchor="b316" w:history="1">
        <w:r>
          <w:rPr>
            <w:color w:val="0A3A8C"/>
            <w:u w:val="single"/>
          </w:rPr>
          <w:t xml:space="preserve">§ 250</w:t>
        </w:r>
      </w:hyperlink>
      <w:r>
        <w:t xml:space="preserve"> Abs. 2 bezeichneten Organisationen und Vertretungen der Arbeitnehmer, auch wenn sie nicht Partei sind.</w:t>
      </w:r>
    </w:p>
    <w:p>
      <w:r>
        <w:t xml:space="preserve">(2) </w:t>
      </w:r>
      <w:r>
        <w:rPr>
          <w:rStyle w:val="Satznummer"/>
        </w:rPr>
        <w:t>1</w:t>
      </w:r>
      <w:r>
        <w:t xml:space="preserve">Wird die Wahl eines Aufsichtsratsmitglieds durch die Hauptversammlung durch rechtskräftiges Urteil für nichtig erklärt, so wirkt das Urteil für und gegen alle Aktionäre sowie die Mitglieder des Vorstands und Aufsichtsrats, auch wenn sie nicht Partei sind. </w:t>
      </w:r>
      <w:r>
        <w:rPr>
          <w:rStyle w:val="Satznummer"/>
        </w:rPr>
        <w:t>2</w:t>
      </w:r>
      <w:r>
        <w:t xml:space="preserve">Im Fall des </w:t>
      </w:r>
      <w:hyperlink w:anchor="b317" w:history="1">
        <w:r>
          <w:rPr>
            <w:color w:val="0A3A8C"/>
            <w:u w:val="single"/>
          </w:rPr>
          <w:t xml:space="preserve">§ 251</w:t>
        </w:r>
      </w:hyperlink>
      <w:r>
        <w:t xml:space="preserve"> Abs. 2 Satz 2 wirkt das Urteil auch für und gegen die nach dieser Vorschrift anfechtungsberechtigten Betriebsräte, Gewerkschaften und Spitzenorganisationen, auch wenn sie nicht Partei sind.</w:t>
      </w:r>
    </w:p>
    <w:p>
      <w:pPr>
        <w:pStyle w:val="Heading5"/>
      </w:pPr>
      <w:bookmarkStart w:id="320" w:name="b319"/>
      <w:r>
        <w:t>§ 253 Nichtigkeit des Beschlusses über die Verwendung des Bilanzgewinns</w:t>
      </w:r>
      <w:r>
        <w:t xml:space="preserve"> </w:t>
      </w:r>
      <w:r>
        <w:rPr>
          <w:rStyle w:val="Suchmarke"/>
        </w:rPr>
        <w:t>#253#</w:t>
      </w:r>
      <w:bookmarkEnd w:id="320"/>
    </w:p>
    <w:p>
      <w:r>
        <w:t xml:space="preserve">(1) </w:t>
      </w:r>
      <w:r>
        <w:rPr>
          <w:rStyle w:val="Satznummer"/>
        </w:rPr>
        <w:t>1</w:t>
      </w:r>
      <w:r>
        <w:t xml:space="preserve">Der Beschluß über die Verwendung des Bilanzgewinns ist außer in den Fällen des </w:t>
      </w:r>
      <w:hyperlink w:anchor="b215" w:history="1">
        <w:r>
          <w:rPr>
            <w:color w:val="0A3A8C"/>
            <w:u w:val="single"/>
          </w:rPr>
          <w:t xml:space="preserve">§ 173</w:t>
        </w:r>
      </w:hyperlink>
      <w:r>
        <w:t xml:space="preserve"> Abs. 3, des </w:t>
      </w:r>
      <w:hyperlink w:anchor="b271" w:history="1">
        <w:r>
          <w:rPr>
            <w:color w:val="0A3A8C"/>
            <w:u w:val="single"/>
          </w:rPr>
          <w:t xml:space="preserve">§ 217</w:t>
        </w:r>
      </w:hyperlink>
      <w:r>
        <w:t xml:space="preserve"> Abs. 2 und des </w:t>
      </w:r>
      <w:hyperlink w:anchor="b304" w:history="1">
        <w:r>
          <w:rPr>
            <w:color w:val="0A3A8C"/>
            <w:u w:val="single"/>
          </w:rPr>
          <w:t xml:space="preserve">§ 241</w:t>
        </w:r>
      </w:hyperlink>
      <w:r>
        <w:t xml:space="preserve"> nur dann nichtig, wenn die Feststellung des Jahresabschlusses, auf dem er beruht, nichtig ist. </w:t>
      </w:r>
      <w:r>
        <w:rPr>
          <w:rStyle w:val="Satznummer"/>
        </w:rPr>
        <w:t>2</w:t>
      </w:r>
      <w:r>
        <w:t>Die Nichtigkeit des Beschlusses aus diesem Grund kann nicht mehr geltend gemacht werden, wenn die Nichtigkeit der Feststellung des Jahresabschlusses nicht mehr geltend gemacht werden kann.</w:t>
      </w:r>
    </w:p>
    <w:p>
      <w:r>
        <w:t xml:space="preserve">(2) Für die Klage auf Feststellung der Nichtigkeit gegen die Gesellschaft gilt </w:t>
      </w:r>
      <w:hyperlink w:anchor="b314" w:history="1">
        <w:r>
          <w:rPr>
            <w:color w:val="0A3A8C"/>
            <w:u w:val="single"/>
          </w:rPr>
          <w:t xml:space="preserve">§ 249</w:t>
        </w:r>
      </w:hyperlink>
      <w:r>
        <w:t>.</w:t>
      </w:r>
    </w:p>
    <w:p>
      <w:pPr>
        <w:pStyle w:val="Heading5"/>
      </w:pPr>
      <w:bookmarkStart w:id="321" w:name="b320"/>
      <w:r>
        <w:t>§ 254 Anfechtung des Beschlusses über die Verwendung des Bilanzgewinns</w:t>
      </w:r>
      <w:r>
        <w:t xml:space="preserve"> </w:t>
      </w:r>
      <w:r>
        <w:rPr>
          <w:rStyle w:val="Suchmarke"/>
        </w:rPr>
        <w:t>#254#</w:t>
      </w:r>
      <w:bookmarkEnd w:id="321"/>
    </w:p>
    <w:p>
      <w:r>
        <w:t xml:space="preserve">(1) Der Beschluß über die Verwendung des Bilanzgewinns kann außer nach </w:t>
      </w:r>
      <w:hyperlink w:anchor="b306" w:history="1">
        <w:r>
          <w:rPr>
            <w:color w:val="0A3A8C"/>
            <w:u w:val="single"/>
          </w:rPr>
          <w:t xml:space="preserve">§ 243</w:t>
        </w:r>
      </w:hyperlink>
      <w:r>
        <w:t xml:space="preserve"> auch angefochten werden, wenn die Hauptversammlung aus dem Bilanzgewinn Beträge in Gewinnrücklagen einstellt oder als Gewinn vorträgt, die nicht nach Gesetz oder Satzung von der Verteilung unter die Aktionäre ausgeschlossen sind, obwohl die Einstellung oder der Gewinnvortrag bei vernünftiger kaufmännischer Beurteilung nicht notwendig ist, um die Lebens- und Widerstandsfähigkeit der Gesellschaft für einen hinsichtlich der wirtschaftlichen und finanziellen Notwendigkeiten übersehbaren Zeitraum zu sichern und dadurch unter die Aktionäre kein Gewinn in Höhe von mindestens vier vom Hundert des Grundkapitals abzüglich von noch nicht eingeforderten Einlagen verteilt werden kann.</w:t>
      </w:r>
    </w:p>
    <w:p>
      <w:r>
        <w:t xml:space="preserve">(2) </w:t>
      </w:r>
      <w:r>
        <w:rPr>
          <w:rStyle w:val="Satznummer"/>
        </w:rPr>
        <w:t>1</w:t>
      </w:r>
      <w:r>
        <w:t xml:space="preserve">Für die Anfechtung gelten die </w:t>
      </w:r>
      <w:hyperlink w:anchor="b307" w:history="1">
        <w:r>
          <w:rPr>
            <w:color w:val="0A3A8C"/>
            <w:u w:val="single"/>
          </w:rPr>
          <w:t xml:space="preserve">§§ 244</w:t>
        </w:r>
      </w:hyperlink>
      <w:r>
        <w:t xml:space="preserve"> bis </w:t>
      </w:r>
      <w:hyperlink w:anchor="b309" w:history="1">
        <w:r>
          <w:rPr>
            <w:color w:val="0A3A8C"/>
            <w:u w:val="single"/>
          </w:rPr>
          <w:t xml:space="preserve">246</w:t>
        </w:r>
      </w:hyperlink>
      <w:r>
        <w:t xml:space="preserve">, </w:t>
      </w:r>
      <w:hyperlink w:anchor="b311" w:history="1">
        <w:r>
          <w:rPr>
            <w:color w:val="0A3A8C"/>
            <w:u w:val="single"/>
          </w:rPr>
          <w:t xml:space="preserve">247</w:t>
        </w:r>
      </w:hyperlink>
      <w:r>
        <w:t xml:space="preserve"> bis </w:t>
      </w:r>
      <w:hyperlink w:anchor="b313" w:history="1">
        <w:r>
          <w:rPr>
            <w:color w:val="0A3A8C"/>
            <w:u w:val="single"/>
          </w:rPr>
          <w:t xml:space="preserve">248a</w:t>
        </w:r>
      </w:hyperlink>
      <w:r>
        <w:t xml:space="preserve">. </w:t>
      </w:r>
      <w:r>
        <w:rPr>
          <w:rStyle w:val="Satznummer"/>
        </w:rPr>
        <w:t>2</w:t>
      </w:r>
      <w:r>
        <w:t xml:space="preserve">Die Anfechtungsfrist beginnt auch dann mit der Beschlußfassung, wenn der Jahresabschluß nach § 316 Abs. 3 des Handelsgesetzbuchs erneut zu prüfen ist. </w:t>
      </w:r>
      <w:r>
        <w:rPr>
          <w:rStyle w:val="Satznummer"/>
        </w:rPr>
        <w:t>3</w:t>
      </w:r>
      <w:r>
        <w:t>Zu einer Anfechtung nach Absatz 1 sind Aktionäre nur befugt, wenn ihre Anteile zusammen den zwanzigsten Teil des Grundkapitals oder den anteiligen Betrag von 500.000 Euro erreichen.</w:t>
      </w:r>
    </w:p>
    <w:p>
      <w:pPr>
        <w:pStyle w:val="Heading5"/>
      </w:pPr>
      <w:bookmarkStart w:id="322" w:name="b321"/>
      <w:r>
        <w:t>§ 255 Anfechtung der Kapitalerhöhung gegen Einlagen</w:t>
      </w:r>
      <w:r>
        <w:t xml:space="preserve"> </w:t>
      </w:r>
      <w:r>
        <w:rPr>
          <w:rStyle w:val="Suchmarke"/>
        </w:rPr>
        <w:t>#255#</w:t>
      </w:r>
      <w:bookmarkEnd w:id="322"/>
    </w:p>
    <w:p>
      <w:r>
        <w:t xml:space="preserve">(1) Der Beschluß über eine Kapitalerhöhung gegen Einlagen kann nach </w:t>
      </w:r>
      <w:hyperlink w:anchor="b306" w:history="1">
        <w:r>
          <w:rPr>
            <w:color w:val="0A3A8C"/>
            <w:u w:val="single"/>
          </w:rPr>
          <w:t xml:space="preserve">§ 243</w:t>
        </w:r>
      </w:hyperlink>
      <w:r>
        <w:t xml:space="preserve"> angefochten werden, soweit sich aus den Absätzen 4 bis 7 nicht ein anderes ergibt.</w:t>
      </w:r>
    </w:p>
    <w:p>
      <w:r>
        <w:t xml:space="preserve">(2) Die Anfechtung kann nicht auf </w:t>
      </w:r>
      <w:hyperlink w:anchor="b306" w:history="1">
        <w:r>
          <w:rPr>
            <w:color w:val="0A3A8C"/>
            <w:u w:val="single"/>
          </w:rPr>
          <w:t xml:space="preserve">§ 243</w:t>
        </w:r>
      </w:hyperlink>
      <w:r>
        <w:t xml:space="preserve"> Absatz 2 oder darauf gestützt werden, dass der auf eine Aktie entfallende Wert der Einlage unangemessen niedrig ist.</w:t>
      </w:r>
    </w:p>
    <w:p>
      <w:r>
        <w:t xml:space="preserve">(3) Für die Anfechtung gelten die </w:t>
      </w:r>
      <w:hyperlink w:anchor="b307" w:history="1">
        <w:r>
          <w:rPr>
            <w:color w:val="0A3A8C"/>
            <w:u w:val="single"/>
          </w:rPr>
          <w:t xml:space="preserve">§§ 244</w:t>
        </w:r>
      </w:hyperlink>
      <w:r>
        <w:t xml:space="preserve"> bis </w:t>
      </w:r>
      <w:hyperlink w:anchor="b313" w:history="1">
        <w:r>
          <w:rPr>
            <w:color w:val="0A3A8C"/>
            <w:u w:val="single"/>
          </w:rPr>
          <w:t xml:space="preserve">248a</w:t>
        </w:r>
      </w:hyperlink>
      <w:r>
        <w:t>.</w:t>
      </w:r>
    </w:p>
    <w:p>
      <w:r>
        <w:t xml:space="preserve">(4) Ist das Bezugsrecht in anderer Weise als nach </w:t>
      </w:r>
      <w:hyperlink w:anchor="b237" w:history="1">
        <w:r>
          <w:rPr>
            <w:color w:val="0A3A8C"/>
            <w:u w:val="single"/>
          </w:rPr>
          <w:t xml:space="preserve">§ 186</w:t>
        </w:r>
      </w:hyperlink>
      <w:r>
        <w:t xml:space="preserve"> Absatz 3 Satz 4 ganz oder zum Teil ausgeschlossen und ist der auf eine Aktie entfallende Wert der Einlage unangemessen niedrig, so kann jeder Aktionär, dessen Recht, gegen die Wirksamkeit des Kapitalerhöhungsbeschlusses Klage zu erheben, nach Absatz 2 ausgeschlossen ist, unbeschadet der §§ 255a und 255b von der Gesellschaft einen Ausgleich durch bare Ausgleichszahlung verlangen, soweit sein Bezugsrecht ausgeschlossen ist.</w:t>
      </w:r>
    </w:p>
    <w:p>
      <w:r>
        <w:t xml:space="preserve">(5) </w:t>
      </w:r>
      <w:r>
        <w:rPr>
          <w:rStyle w:val="Satznummer"/>
        </w:rPr>
        <w:t>1</w:t>
      </w:r>
      <w:r>
        <w:t xml:space="preserve">Bei börsennotierten Gesellschaften entspricht der Wert der gewährten Aktien ihrem Börsenkurs. </w:t>
      </w:r>
      <w:r>
        <w:rPr>
          <w:rStyle w:val="Satznummer"/>
        </w:rPr>
        <w:t>2</w:t>
      </w:r>
      <w:r>
        <w:t xml:space="preserve">Unterschreitet der Ausgabebetrag den Börsenkurs nicht wesentlich, so entfällt der Anspruch auf Ausgleichszahlung nach Absatz 4 Satz 2. </w:t>
      </w:r>
      <w:r>
        <w:rPr>
          <w:rStyle w:val="Satznummer"/>
        </w:rPr>
        <w:t>3</w:t>
      </w:r>
      <w:r>
        <w:t>Der Börsenkurs ist nicht allein maßgebend, wenn</w:t>
      </w:r>
    </w:p>
    <w:p>
      <w:pPr>
        <w:tabs>
          <w:tab w:pos="567" w:val="left"/>
        </w:tabs>
        <w:ind w:left="567" w:hanging="567"/>
      </w:pPr>
      <w:r>
        <w:t>1.</w:t>
      </w:r>
      <w:r>
        <w:tab/>
      </w:r>
      <w:r>
        <w:t>die Aktiengesellschaft entgegen Artikel 17 Absatz 1 der Verordnung (EU) Nr. 596/2014 oder einer entsprechenden Vorschrift des anwendbaren ausländischen Rechts eine Insiderinformation, die sie unmittelbar betrifft, nicht so bald wie möglich veröffentlicht oder in einer Mitteilung nach Artikel 17 Absatz 1 der Verordnung (EU) Nr. 596/2014 oder einer entsprechenden Vorschrift des anwendbaren ausländischen Rechts eine unwahre Insiderinformation, die sie unmittelbar betrifft, veröffentlicht oder</w:t>
      </w:r>
    </w:p>
    <w:p>
      <w:pPr>
        <w:tabs>
          <w:tab w:pos="567" w:val="left"/>
        </w:tabs>
        <w:ind w:left="567" w:hanging="567"/>
      </w:pPr>
      <w:r>
        <w:t>2.</w:t>
      </w:r>
      <w:r>
        <w:tab/>
      </w:r>
      <w:r>
        <w:t>ein Verstoß gegen das Verbot der Marktmanipulation nach Artikel 15 der Verordnung (EU) Nr. 596/2014 vorliegt, der den Börsenkurs beeinflusst hat oder hierzu geeignet war oder</w:t>
      </w:r>
    </w:p>
    <w:p>
      <w:pPr>
        <w:tabs>
          <w:tab w:pos="567" w:val="left"/>
        </w:tabs>
        <w:ind w:left="567" w:hanging="567"/>
      </w:pPr>
      <w:r>
        <w:t>3.</w:t>
      </w:r>
      <w:r>
        <w:tab/>
      </w:r>
      <w:r>
        <w:t>für die Aktien der Aktiengesellschaft während der letzten drei Monate vor Ablauf des der Entscheidung über die Ausgabe der neuen Aktien vorausgehenden Tages an weniger als einem Drittel der Börsentage Börsenkurse festgestellt wurden und mehrere nacheinander festgestellte Börsenkurse um mehr als 5 Prozent voneinander abweichen.</w:t>
      </w:r>
    </w:p>
    <w:p>
      <w:r>
        <w:rPr>
          <w:rStyle w:val="Satznummer"/>
        </w:rPr>
        <w:t>4</w:t>
      </w:r>
      <w:r>
        <w:t xml:space="preserve">Für die Berechnung des Börsenkurses ist § 5 Absatz 1 bis 3 der WpÜG-Angebotsverordnung entsprechend anzuwenden mit der Maßgabe, dass anstelle der Veröffentlichung nach § 10 Absatz 1 Satz 1 oder § 35 Absatz 1 Satz 1 des Wertpapiererwerbs- und Übernahmegesetzes der Ablauf des der Entscheidung über die Ausgabe der neuen Aktien vorausgehenden Tages tritt. </w:t>
      </w:r>
      <w:r>
        <w:rPr>
          <w:rStyle w:val="Satznummer"/>
        </w:rPr>
        <w:t>5</w:t>
      </w:r>
      <w:r>
        <w:t xml:space="preserve">Ist der Börsenkurs an diesem Tag niedriger, ist dieser Börsenkurs maßgeblich. </w:t>
      </w:r>
      <w:r>
        <w:rPr>
          <w:rStyle w:val="Satznummer"/>
        </w:rPr>
        <w:t>6</w:t>
      </w:r>
      <w:r>
        <w:t>Satz 3 Nummer 1 und 2 ist nicht anzuwenden, sofern der Verstoß oder die Manipulation keine oder nur unwesentliche Auswirkungen auf den nach Satz 4 errechneten Kurs hatten.</w:t>
      </w:r>
    </w:p>
    <w:p>
      <w:r>
        <w:t xml:space="preserve">(6) </w:t>
      </w:r>
      <w:r>
        <w:rPr>
          <w:rStyle w:val="Satznummer"/>
        </w:rPr>
        <w:t>1</w:t>
      </w:r>
      <w:r>
        <w:t xml:space="preserve">Die Ausgleichszahlung ist nach Ablauf des Tages, an dem die Eintragung der Durchführung der Kapitalerhöhung erfolgt ist, mit jährlich 5 Prozentpunkten über dem jeweiligen Basiszinssatz nach § 247 des Bürgerlichen Gesetzbuchs zu verzinsen. </w:t>
      </w:r>
      <w:r>
        <w:rPr>
          <w:rStyle w:val="Satznummer"/>
        </w:rPr>
        <w:t>2</w:t>
      </w:r>
      <w:r>
        <w:t>Die Geltendmachung eines weiteren Schadens ist nicht ausgeschlossen.</w:t>
      </w:r>
    </w:p>
    <w:p>
      <w:r>
        <w:t>(7) Die Ausgleichszahlung wird auf Antrag durch das Gericht nach den Vorschriften des Spruchverfahrensgesetzes bestimmt.</w:t>
      </w:r>
    </w:p>
    <w:p>
      <w:pPr>
        <w:pStyle w:val="Heading5"/>
      </w:pPr>
      <w:bookmarkStart w:id="323" w:name="b322"/>
      <w:r>
        <w:t>§ 255a Gewährung zusätzlicher Aktien</w:t>
      </w:r>
      <w:r>
        <w:t xml:space="preserve"> </w:t>
      </w:r>
      <w:r>
        <w:rPr>
          <w:rStyle w:val="Suchmarke"/>
        </w:rPr>
        <w:t>#255a#</w:t>
      </w:r>
      <w:bookmarkEnd w:id="323"/>
    </w:p>
    <w:p>
      <w:r>
        <w:t xml:space="preserve">(1) </w:t>
      </w:r>
      <w:r>
        <w:rPr>
          <w:rStyle w:val="Satznummer"/>
        </w:rPr>
        <w:t>1</w:t>
      </w:r>
      <w:r>
        <w:t>Im Beschluss über die Kapitalerhöhung kann bestimmt werden, dass anstelle einer baren Ausgleichszahlung (</w:t>
      </w:r>
      <w:hyperlink w:anchor="b321" w:history="1">
        <w:r>
          <w:rPr>
            <w:color w:val="0A3A8C"/>
            <w:u w:val="single"/>
          </w:rPr>
          <w:t xml:space="preserve">§ 255</w:t>
        </w:r>
      </w:hyperlink>
      <w:r>
        <w:t xml:space="preserve"> Absatz 4) zusätzliche Aktien der Gesellschaft gewährt werden. </w:t>
      </w:r>
      <w:r>
        <w:rPr>
          <w:rStyle w:val="Satznummer"/>
        </w:rPr>
        <w:t>2</w:t>
      </w:r>
      <w:r>
        <w:t>§ 72a Absatz 1 Satz 2 des Umwandlungsgesetzes findet entsprechende Anwendung.</w:t>
      </w:r>
    </w:p>
    <w:p>
      <w:r>
        <w:t xml:space="preserve">(2) </w:t>
      </w:r>
      <w:r>
        <w:rPr>
          <w:rStyle w:val="Satznummer"/>
        </w:rPr>
        <w:t>1</w:t>
      </w:r>
      <w:r>
        <w:t xml:space="preserve">Neue Aktien, die nach Eintragung der Kapitalerhöhung im Rahmen einer weiteren Kapitalerhöhung aus Gesellschaftsmitteln auf Grund eines unangemessenen Wertes der Einlage nicht gewährt wurden, und nach Eintragung der Kapitalerhöhung erfolgte Kapitalherabsetzungen ohne Rückzahlung von Teilen des Grundkapitals sind bei dem Anspruch auf Gewährung zusätzlicher Aktien zu berücksichtigen. </w:t>
      </w:r>
      <w:r>
        <w:rPr>
          <w:rStyle w:val="Satznummer"/>
        </w:rPr>
        <w:t>2</w:t>
      </w:r>
      <w:r>
        <w:t xml:space="preserve">Bezugsrechte, die den anspruchsberechtigten Aktionären bei einer nach Eintragung der Kapitalerhöhung erfolgten weiteren Kapitalerhöhung gegen Einlagen auf Grund einer unangemessen niedrigen Einlage nicht zustanden, sind ihnen nachträglich einzuräumen. </w:t>
      </w:r>
      <w:r>
        <w:rPr>
          <w:rStyle w:val="Satznummer"/>
        </w:rPr>
        <w:t>3</w:t>
      </w:r>
      <w:r>
        <w:t>Die anspruchsberechtigten Aktionäre müssen ihr Bezugsrecht nach Satz 2 gegenüber der Gesellschaft binnen eines Monats nach Eintritt der Rechtskraft der Entscheidung des Gerichts (§ 11 Absatz 1 des Spruchverfahrensgesetzes) ausüben.</w:t>
      </w:r>
    </w:p>
    <w:p>
      <w:r>
        <w:t xml:space="preserve">(3) Anstelle zusätzlicher Aktien ist den anspruchsberechtigten Aktionären Ausgleich durch eine bare Zuzahlung gemäß </w:t>
      </w:r>
      <w:hyperlink w:anchor="b321" w:history="1">
        <w:r>
          <w:rPr>
            <w:color w:val="0A3A8C"/>
            <w:u w:val="single"/>
          </w:rPr>
          <w:t xml:space="preserve">§ 255</w:t>
        </w:r>
      </w:hyperlink>
      <w:r>
        <w:t xml:space="preserve"> Absatz 4 bis 7 zu gewähren,</w:t>
      </w:r>
    </w:p>
    <w:p>
      <w:pPr>
        <w:tabs>
          <w:tab w:pos="567" w:val="left"/>
        </w:tabs>
        <w:ind w:left="567" w:hanging="567"/>
      </w:pPr>
      <w:r>
        <w:t>1.</w:t>
      </w:r>
      <w:r>
        <w:tab/>
      </w:r>
      <w:r>
        <w:t>um Spitzenbeträge auszugleichen oder</w:t>
      </w:r>
    </w:p>
    <w:p>
      <w:pPr>
        <w:tabs>
          <w:tab w:pos="567" w:val="left"/>
        </w:tabs>
        <w:ind w:left="567" w:hanging="567"/>
      </w:pPr>
      <w:r>
        <w:t>2.</w:t>
      </w:r>
      <w:r>
        <w:tab/>
      </w:r>
      <w:r>
        <w:t>wenn die Gewährung zusätzlicher Aktien unmöglich geworden ist.</w:t>
      </w:r>
    </w:p>
    <w:p>
      <w:r>
        <w:t>(4) Anstelle zusätzlicher Aktien ist denjenigen Aktionären, die anlässlich einer nach Eintragung der Kapitalerhöhung erfolgten strukturverändernden Maßnahme aus der Gesellschaft ausgeschieden sind, eine Entschädigung in Geld unter Berücksichtigung der von der Gesellschaft zu gewährenden Abfindung zu leisten.</w:t>
      </w:r>
    </w:p>
    <w:p>
      <w:r>
        <w:t>(5) Zusätzlich zur Gewährung zusätzlicher Aktien ist den anspruchsberechtigten Aktionären eine Entschädigung in Geld zu leisten für Gewinne oder einen angemessenen Ausgleich gemäß § 304 des Aktiengesetzes, soweit diese auf Grund einer unangemessenen niedrigen Einlage nicht ausgeschüttet oder geleistet worden sind.</w:t>
      </w:r>
    </w:p>
    <w:p>
      <w:r>
        <w:t xml:space="preserve">(6) </w:t>
      </w:r>
      <w:r>
        <w:rPr>
          <w:rStyle w:val="Satznummer"/>
        </w:rPr>
        <w:t>1</w:t>
      </w:r>
      <w:hyperlink w:anchor="b321" w:history="1">
        <w:r>
          <w:rPr>
            <w:color w:val="0A3A8C"/>
            <w:u w:val="single"/>
          </w:rPr>
          <w:t xml:space="preserve">§ 255</w:t>
        </w:r>
      </w:hyperlink>
      <w:r>
        <w:t xml:space="preserve"> Absatz 5 bis 7 ist mit Ausnahme von Absatz 6 Satz 1 entsprechend anzuwenden. </w:t>
      </w:r>
      <w:r>
        <w:rPr>
          <w:rStyle w:val="Satznummer"/>
        </w:rPr>
        <w:t>2</w:t>
      </w:r>
      <w:r>
        <w:t xml:space="preserve">Ansprüche auf eine Entschädigung in Geld gemäß den Absätzen 3 und 4 sind gemäß </w:t>
      </w:r>
      <w:hyperlink w:anchor="b321" w:history="1">
        <w:r>
          <w:rPr>
            <w:color w:val="0A3A8C"/>
            <w:u w:val="single"/>
          </w:rPr>
          <w:t xml:space="preserve">§ 255</w:t>
        </w:r>
      </w:hyperlink>
      <w:r>
        <w:t xml:space="preserve"> Absatz 6 Satz 1 ab dem Zeitpunkt zu verzinsen, zu dem die Abfindung oder der Anspruch auf Gewinnausschüttung oder die wiederkehrende Leistung fällig geworden wäre. </w:t>
      </w:r>
      <w:r>
        <w:rPr>
          <w:rStyle w:val="Satznummer"/>
        </w:rPr>
        <w:t>3</w:t>
      </w:r>
      <w:r>
        <w:t xml:space="preserve">In den Fällen des </w:t>
      </w:r>
      <w:hyperlink w:anchor="b323" w:history="1">
        <w:r>
          <w:rPr>
            <w:color w:val="0A3A8C"/>
            <w:u w:val="single"/>
          </w:rPr>
          <w:t xml:space="preserve">§ 255b</w:t>
        </w:r>
      </w:hyperlink>
      <w:r>
        <w:t xml:space="preserve"> endet der Zinslauf, sobald der Treuhänder gemäß </w:t>
      </w:r>
      <w:hyperlink w:anchor="b323" w:history="1">
        <w:r>
          <w:rPr>
            <w:color w:val="0A3A8C"/>
            <w:u w:val="single"/>
          </w:rPr>
          <w:t xml:space="preserve">§ 255b</w:t>
        </w:r>
      </w:hyperlink>
      <w:r>
        <w:t xml:space="preserve"> Absatz 3 die Aktien, die bare Zuzahlung oder die Entschädigung in Geld empfangen hat.</w:t>
      </w:r>
    </w:p>
    <w:p>
      <w:r>
        <w:t>(7) Das Risiko der Beschaffung der zusätzlich zu gewährenden Aktien trägt die Gesellschaft.</w:t>
      </w:r>
    </w:p>
    <w:p>
      <w:pPr>
        <w:pStyle w:val="Heading5"/>
      </w:pPr>
      <w:bookmarkStart w:id="324" w:name="b323"/>
      <w:r>
        <w:t>§ 255b Kapitalerhöhung zur Gewährung zusätzlicher Aktien</w:t>
      </w:r>
      <w:r>
        <w:t xml:space="preserve"> </w:t>
      </w:r>
      <w:r>
        <w:rPr>
          <w:rStyle w:val="Suchmarke"/>
        </w:rPr>
        <w:t>#255b#</w:t>
      </w:r>
      <w:bookmarkEnd w:id="324"/>
    </w:p>
    <w:p>
      <w:r>
        <w:t xml:space="preserve">(1) </w:t>
      </w:r>
      <w:r>
        <w:rPr>
          <w:rStyle w:val="Satznummer"/>
        </w:rPr>
        <w:t>1</w:t>
      </w:r>
      <w:r>
        <w:t xml:space="preserve">Die gemäß </w:t>
      </w:r>
      <w:hyperlink w:anchor="b322" w:history="1">
        <w:r>
          <w:rPr>
            <w:color w:val="0A3A8C"/>
            <w:u w:val="single"/>
          </w:rPr>
          <w:t xml:space="preserve">§ 255a</w:t>
        </w:r>
      </w:hyperlink>
      <w:r>
        <w:t xml:space="preserve"> Absatz 1 sowie Absatz 2 Satz 1 zusätzlich zu gewährenden Aktien können nach Maßgabe dieses Absatzes und der Absätze 2 bis 4 durch eine weitere Kapitalerhöhung gegen Sacheinlage geschaffen werden. </w:t>
      </w:r>
      <w:r>
        <w:rPr>
          <w:rStyle w:val="Satznummer"/>
        </w:rPr>
        <w:t>2</w:t>
      </w:r>
      <w:r>
        <w:t>Gegenstand der Sacheinlage ist der Anspruch der anspruchsberechtigten Aktionäre auf Gewährung zusätzlicher Aktien, der durch gerichtliche Entscheidung (§ 11 Absatz 1 des Spruchverfahrensgesetzes) oder gerichtlichen Vergleich (§ 11 Absatz 2 bis 4 des Spruchverfahrensgesetzes) festgestellt wurde; der Anspruch erlischt mit Eintragung der Durchführung der weiteren Kapitalerhöhung (</w:t>
      </w:r>
      <w:hyperlink w:anchor="b240" w:history="1">
        <w:r>
          <w:rPr>
            <w:color w:val="0A3A8C"/>
            <w:u w:val="single"/>
          </w:rPr>
          <w:t xml:space="preserve">§ 189</w:t>
        </w:r>
      </w:hyperlink>
      <w:r>
        <w:t xml:space="preserve"> dieses Gesetzes). </w:t>
      </w:r>
      <w:r>
        <w:rPr>
          <w:rStyle w:val="Satznummer"/>
        </w:rPr>
        <w:t>3</w:t>
      </w:r>
      <w:r>
        <w:t>Wird der Anspruch durch gerichtliche Entscheidung (§ 11 Absatz 1 des Spruchverfahrensgesetzes) festgestellt, kann die Sacheinlage nicht geleistet werden, bevor die Rechtskraft eingetreten ist.</w:t>
      </w:r>
    </w:p>
    <w:p>
      <w:r>
        <w:t xml:space="preserve">(2) </w:t>
      </w:r>
      <w:r>
        <w:rPr>
          <w:rStyle w:val="Satznummer"/>
        </w:rPr>
        <w:t>1</w:t>
      </w:r>
      <w:r>
        <w:t xml:space="preserve">Anstelle der Festsetzungen nach </w:t>
      </w:r>
      <w:hyperlink w:anchor="b233" w:history="1">
        <w:r>
          <w:rPr>
            <w:color w:val="0A3A8C"/>
            <w:u w:val="single"/>
          </w:rPr>
          <w:t xml:space="preserve">§ 183</w:t>
        </w:r>
      </w:hyperlink>
      <w:r>
        <w:t xml:space="preserve"> Absatz 1 Satz 1 und </w:t>
      </w:r>
      <w:hyperlink w:anchor="b258" w:history="1">
        <w:r>
          <w:rPr>
            <w:color w:val="0A3A8C"/>
            <w:u w:val="single"/>
          </w:rPr>
          <w:t xml:space="preserve">§ 205</w:t>
        </w:r>
      </w:hyperlink>
      <w:r>
        <w:t xml:space="preserve"> Absatz 2 Satz 1 genügt</w:t>
      </w:r>
    </w:p>
    <w:p>
      <w:pPr>
        <w:tabs>
          <w:tab w:pos="567" w:val="left"/>
        </w:tabs>
        <w:ind w:left="567" w:hanging="567"/>
      </w:pPr>
      <w:r>
        <w:t>1.</w:t>
      </w:r>
      <w:r>
        <w:tab/>
      </w:r>
      <w:r>
        <w:t>die Bestimmung, dass die auf Grund der zu bezeichnenden gerichtlichen Entscheidung oder des zu bezeichnenden gerichtlich protokollierten Vergleichs festgestellten Ansprüche der anspruchsberechtigten Aktionäre auf Gewährung zusätzlicher Aktien eingebracht werden, sowie</w:t>
      </w:r>
    </w:p>
    <w:p>
      <w:pPr>
        <w:tabs>
          <w:tab w:pos="567" w:val="left"/>
        </w:tabs>
        <w:ind w:left="567" w:hanging="567"/>
      </w:pPr>
      <w:r>
        <w:t>2.</w:t>
      </w:r>
      <w:r>
        <w:tab/>
      </w:r>
      <w:r>
        <w:t>die Angabe des auf Grund der gerichtlichen Entscheidung oder des Vergleichs zu gewährenden Nennbetrags, bei Stückaktien die Zahl der zu gewährenden Aktien.</w:t>
      </w:r>
    </w:p>
    <w:p>
      <w:r>
        <w:rPr>
          <w:rStyle w:val="Satznummer"/>
        </w:rPr>
        <w:t>2</w:t>
      </w:r>
      <w:hyperlink w:anchor="b232" w:history="1">
        <w:r>
          <w:rPr>
            <w:color w:val="0A3A8C"/>
            <w:u w:val="single"/>
          </w:rPr>
          <w:t xml:space="preserve">§ 182</w:t>
        </w:r>
      </w:hyperlink>
      <w:r>
        <w:t xml:space="preserve"> Absatz 4 sowie die </w:t>
      </w:r>
      <w:hyperlink w:anchor="b237" w:history="1">
        <w:r>
          <w:rPr>
            <w:color w:val="0A3A8C"/>
            <w:u w:val="single"/>
          </w:rPr>
          <w:t xml:space="preserve">§§ 186</w:t>
        </w:r>
      </w:hyperlink>
      <w:r>
        <w:t xml:space="preserve">, </w:t>
      </w:r>
      <w:hyperlink w:anchor="b238" w:history="1">
        <w:r>
          <w:rPr>
            <w:color w:val="0A3A8C"/>
            <w:u w:val="single"/>
          </w:rPr>
          <w:t xml:space="preserve">187</w:t>
        </w:r>
      </w:hyperlink>
      <w:r>
        <w:t xml:space="preserve"> und </w:t>
      </w:r>
      <w:hyperlink w:anchor="b256" w:history="1">
        <w:r>
          <w:rPr>
            <w:color w:val="0A3A8C"/>
            <w:u w:val="single"/>
          </w:rPr>
          <w:t xml:space="preserve">203</w:t>
        </w:r>
      </w:hyperlink>
      <w:r>
        <w:t xml:space="preserve"> Absatz 3 sind nicht anzuwenden.</w:t>
      </w:r>
    </w:p>
    <w:p>
      <w:r>
        <w:t xml:space="preserve">(3) </w:t>
      </w:r>
      <w:r>
        <w:rPr>
          <w:rStyle w:val="Satznummer"/>
        </w:rPr>
        <w:t>1</w:t>
      </w:r>
      <w:r>
        <w:t xml:space="preserve">Die Gesellschaft hat einen Treuhänder zu bestellen. </w:t>
      </w:r>
      <w:r>
        <w:rPr>
          <w:rStyle w:val="Satznummer"/>
        </w:rPr>
        <w:t>2</w:t>
      </w:r>
      <w:r>
        <w:t>Dieser ist ermächtigt, im eigenen Namen</w:t>
      </w:r>
    </w:p>
    <w:p>
      <w:pPr>
        <w:tabs>
          <w:tab w:pos="567" w:val="left"/>
        </w:tabs>
        <w:ind w:left="567" w:hanging="567"/>
      </w:pPr>
      <w:r>
        <w:t>1.</w:t>
      </w:r>
      <w:r>
        <w:tab/>
      </w:r>
      <w:r>
        <w:t>die Ansprüche auf Gewährung zusätzlicher Aktien an die Gesellschaft abzutreten,</w:t>
      </w:r>
    </w:p>
    <w:p>
      <w:pPr>
        <w:tabs>
          <w:tab w:pos="567" w:val="left"/>
        </w:tabs>
        <w:ind w:left="567" w:hanging="567"/>
      </w:pPr>
      <w:r>
        <w:t>2.</w:t>
      </w:r>
      <w:r>
        <w:tab/>
      </w:r>
      <w:r>
        <w:t>die zusätzlich zu gewährenden Aktien zu zeichnen,</w:t>
      </w:r>
    </w:p>
    <w:p>
      <w:pPr>
        <w:tabs>
          <w:tab w:pos="567" w:val="left"/>
        </w:tabs>
        <w:ind w:left="567" w:hanging="567"/>
      </w:pPr>
      <w:r>
        <w:t>3.</w:t>
      </w:r>
      <w:r>
        <w:tab/>
      </w:r>
      <w:r>
        <w:t xml:space="preserve">die gemäß </w:t>
      </w:r>
      <w:hyperlink w:anchor="b322" w:history="1">
        <w:r>
          <w:rPr>
            <w:color w:val="0A3A8C"/>
            <w:u w:val="single"/>
          </w:rPr>
          <w:t xml:space="preserve">§ 255a</w:t>
        </w:r>
      </w:hyperlink>
      <w:r>
        <w:t xml:space="preserve"> zusätzlich zu gewährenden Aktien, baren Zuzahlungen und Entschädigungen in Geld in Empfang zu nehmen sowie</w:t>
      </w:r>
    </w:p>
    <w:p>
      <w:pPr>
        <w:tabs>
          <w:tab w:pos="567" w:val="left"/>
        </w:tabs>
        <w:ind w:left="567" w:hanging="567"/>
      </w:pPr>
      <w:r>
        <w:t>4.</w:t>
      </w:r>
      <w:r>
        <w:tab/>
      </w:r>
      <w:r>
        <w:t>alle von den anspruchsberechtigten Aktionären abzugebenden Erklärungen abzugeben, soweit diese für den Erwerb der Aktien erforderlich sind.</w:t>
      </w:r>
    </w:p>
    <w:p>
      <w:r>
        <w:rPr>
          <w:rStyle w:val="Satznummer"/>
        </w:rPr>
        <w:t>3</w:t>
      </w:r>
      <w:hyperlink w:anchor="b39" w:history="1">
        <w:r>
          <w:rPr>
            <w:color w:val="0A3A8C"/>
            <w:u w:val="single"/>
          </w:rPr>
          <w:t xml:space="preserve">§ 35</w:t>
        </w:r>
      </w:hyperlink>
      <w:r>
        <w:t xml:space="preserve"> Absatz 3 ist entsprechend anzuwenden.</w:t>
      </w:r>
    </w:p>
    <w:p>
      <w:r>
        <w:t xml:space="preserve">(4) </w:t>
      </w:r>
      <w:r>
        <w:rPr>
          <w:rStyle w:val="Satznummer"/>
        </w:rPr>
        <w:t>1</w:t>
      </w:r>
      <w:r>
        <w:t xml:space="preserve">Den Anmeldungen nach den </w:t>
      </w:r>
      <w:hyperlink w:anchor="b235" w:history="1">
        <w:r>
          <w:rPr>
            <w:color w:val="0A3A8C"/>
            <w:u w:val="single"/>
          </w:rPr>
          <w:t xml:space="preserve">§§ 184</w:t>
        </w:r>
      </w:hyperlink>
      <w:r>
        <w:t xml:space="preserve"> und </w:t>
      </w:r>
      <w:hyperlink w:anchor="b239" w:history="1">
        <w:r>
          <w:rPr>
            <w:color w:val="0A3A8C"/>
            <w:u w:val="single"/>
          </w:rPr>
          <w:t xml:space="preserve">188</w:t>
        </w:r>
      </w:hyperlink>
      <w:r>
        <w:t xml:space="preserve"> ist in Ausfertigung oder öffentlich beglaubigter Abschrift die gerichtliche Entscheidung oder der gerichtlich protokollierte Vergleich, aus der oder dem sich der zusätzlich zu gewährende Nennbetrag oder bei Stückaktien die Zahl der zusätzlich zu gewährenden Aktien ergibt, beizufügen. </w:t>
      </w:r>
      <w:r>
        <w:rPr>
          <w:rStyle w:val="Satznummer"/>
        </w:rPr>
        <w:t>2</w:t>
      </w:r>
      <w:hyperlink w:anchor="b239" w:history="1">
        <w:r>
          <w:rPr>
            <w:color w:val="0A3A8C"/>
            <w:u w:val="single"/>
          </w:rPr>
          <w:t xml:space="preserve">§ 188</w:t>
        </w:r>
      </w:hyperlink>
      <w:r>
        <w:t xml:space="preserve"> Absatz 3 Nummer 2 ist nicht anzuwenden.</w:t>
      </w:r>
    </w:p>
    <w:p>
      <w:r>
        <w:t xml:space="preserve">(5) </w:t>
      </w:r>
      <w:hyperlink w:anchor="b232" w:history="1">
        <w:r>
          <w:rPr>
            <w:color w:val="0A3A8C"/>
            <w:u w:val="single"/>
          </w:rPr>
          <w:t xml:space="preserve">§ 182</w:t>
        </w:r>
      </w:hyperlink>
      <w:r>
        <w:t xml:space="preserve"> Absatz 4 sowie die </w:t>
      </w:r>
      <w:hyperlink w:anchor="b237" w:history="1">
        <w:r>
          <w:rPr>
            <w:color w:val="0A3A8C"/>
            <w:u w:val="single"/>
          </w:rPr>
          <w:t xml:space="preserve">§§ 186</w:t>
        </w:r>
      </w:hyperlink>
      <w:r>
        <w:t xml:space="preserve">, </w:t>
      </w:r>
      <w:hyperlink w:anchor="b238" w:history="1">
        <w:r>
          <w:rPr>
            <w:color w:val="0A3A8C"/>
            <w:u w:val="single"/>
          </w:rPr>
          <w:t xml:space="preserve">187</w:t>
        </w:r>
      </w:hyperlink>
      <w:r>
        <w:t xml:space="preserve"> und </w:t>
      </w:r>
      <w:hyperlink w:anchor="b256" w:history="1">
        <w:r>
          <w:rPr>
            <w:color w:val="0A3A8C"/>
            <w:u w:val="single"/>
          </w:rPr>
          <w:t xml:space="preserve">203</w:t>
        </w:r>
      </w:hyperlink>
      <w:r>
        <w:t xml:space="preserve"> Absatz 3 sind nicht anzuwenden auf Kapitalerhöhungen, die durchgeführt werden, um zusätzliche Aktien auf Grund gemäß </w:t>
      </w:r>
      <w:hyperlink w:anchor="b322" w:history="1">
        <w:r>
          <w:rPr>
            <w:color w:val="0A3A8C"/>
            <w:u w:val="single"/>
          </w:rPr>
          <w:t xml:space="preserve">§ 255a</w:t>
        </w:r>
      </w:hyperlink>
      <w:r>
        <w:t xml:space="preserve"> Absatz 2 Satz 3 ausgeübter Bezugsrechte zu gewähren.</w:t>
      </w:r>
    </w:p>
    <w:p>
      <w:r>
        <w:t xml:space="preserve">(6) Für den Beschluss über die Kapitalerhöhung nach Absatz 1 gilt </w:t>
      </w:r>
      <w:hyperlink w:anchor="b321" w:history="1">
        <w:r>
          <w:rPr>
            <w:color w:val="0A3A8C"/>
            <w:u w:val="single"/>
          </w:rPr>
          <w:t xml:space="preserve">§ 255</w:t>
        </w:r>
      </w:hyperlink>
      <w:r>
        <w:t xml:space="preserve"> Absatz 2 entsprechend.</w:t>
      </w:r>
    </w:p>
    <w:p>
      <w:pPr>
        <w:pStyle w:val="Heading3"/>
      </w:pPr>
      <w:bookmarkStart w:id="325" w:name="b324"/>
      <w:r>
        <w:t>Zweiter Abschnitt Nichtigkeit des festgestellten Jahresabschlusses</w:t>
      </w:r>
      <w:bookmarkEnd w:id="325"/>
    </w:p>
    <w:p>
      <w:pPr>
        <w:pStyle w:val="Heading4"/>
      </w:pPr>
      <w:bookmarkStart w:id="326" w:name="b325"/>
      <w:r>
        <w:t>§ 256 Nichtigkeit</w:t>
      </w:r>
      <w:r>
        <w:t xml:space="preserve"> </w:t>
      </w:r>
      <w:r>
        <w:rPr>
          <w:rStyle w:val="Suchmarke"/>
        </w:rPr>
        <w:t>#256#</w:t>
      </w:r>
      <w:bookmarkEnd w:id="326"/>
    </w:p>
    <w:p>
      <w:r>
        <w:t xml:space="preserve">(1) Ein festgestellter Jahresabschluß ist außer in den Fällen des </w:t>
      </w:r>
      <w:hyperlink w:anchor="b215" w:history="1">
        <w:r>
          <w:rPr>
            <w:color w:val="0A3A8C"/>
            <w:u w:val="single"/>
          </w:rPr>
          <w:t xml:space="preserve">§ 173</w:t>
        </w:r>
      </w:hyperlink>
      <w:r>
        <w:t xml:space="preserve"> Abs. 3, </w:t>
      </w:r>
      <w:hyperlink w:anchor="b292" w:history="1">
        <w:r>
          <w:rPr>
            <w:color w:val="0A3A8C"/>
            <w:u w:val="single"/>
          </w:rPr>
          <w:t xml:space="preserve">§ 234</w:t>
        </w:r>
      </w:hyperlink>
      <w:r>
        <w:t xml:space="preserve"> Abs. 3 und </w:t>
      </w:r>
      <w:hyperlink w:anchor="b293" w:history="1">
        <w:r>
          <w:rPr>
            <w:color w:val="0A3A8C"/>
            <w:u w:val="single"/>
          </w:rPr>
          <w:t xml:space="preserve">§ 235</w:t>
        </w:r>
      </w:hyperlink>
      <w:r>
        <w:t xml:space="preserve"> Abs. 2 nichtig, wenn</w:t>
      </w:r>
    </w:p>
    <w:p>
      <w:pPr>
        <w:tabs>
          <w:tab w:pos="567" w:val="left"/>
        </w:tabs>
        <w:ind w:left="567" w:hanging="567"/>
      </w:pPr>
      <w:r>
        <w:t>1.</w:t>
      </w:r>
      <w:r>
        <w:tab/>
      </w:r>
      <w:r>
        <w:t>er durch seinen Inhalt Vorschriften verletzt, die ausschließlich oder überwiegend zum Schutz der Gläubiger der Gesellschaft gegeben sind,</w:t>
      </w:r>
    </w:p>
    <w:p>
      <w:pPr>
        <w:tabs>
          <w:tab w:pos="567" w:val="left"/>
        </w:tabs>
        <w:ind w:left="567" w:hanging="567"/>
      </w:pPr>
      <w:r>
        <w:t>2.</w:t>
      </w:r>
      <w:r>
        <w:tab/>
      </w:r>
      <w:r>
        <w:t>er im Falle einer gesetzlichen Prüfungspflicht nicht nach § 316 Abs. 1 und 3 des Handelsgesetzbuchs geprüft worden ist;</w:t>
      </w:r>
    </w:p>
    <w:p>
      <w:pPr>
        <w:tabs>
          <w:tab w:pos="567" w:val="left"/>
        </w:tabs>
        <w:ind w:left="567" w:hanging="567"/>
      </w:pPr>
      <w:r>
        <w:t>3.</w:t>
      </w:r>
      <w:r>
        <w:tab/>
      </w:r>
      <w:r>
        <w:t>er im Falle einer gesetzlichen Prüfungspflicht von Personen geprüft worden ist, die nach § 319 Absatz 1 des Handelsgesetzbuchs oder nach Artikel 25 des Einführungsgesetzes zum Handelsgesetzbuch nicht Abschlussprüfer sind oder aus anderen Gründen als den folgenden nicht zum Abschlussprüfer bestellt sind:</w:t>
      </w:r>
    </w:p>
    <w:p>
      <w:pPr>
        <w:tabs>
          <w:tab w:pos="1134" w:val="left"/>
        </w:tabs>
        <w:ind w:left="1134" w:hanging="567"/>
      </w:pPr>
      <w:r>
        <w:t>a)</w:t>
      </w:r>
      <w:r>
        <w:tab/>
      </w:r>
      <w:r>
        <w:t>Verstoß gegen § 319 Absatz 2, 3 oder 4 des Handelsgesetzbuchs,</w:t>
      </w:r>
    </w:p>
    <w:p>
      <w:pPr>
        <w:tabs>
          <w:tab w:pos="1134" w:val="left"/>
        </w:tabs>
        <w:ind w:left="1134" w:hanging="567"/>
      </w:pPr>
      <w:r>
        <w:t>b)</w:t>
      </w:r>
      <w:r>
        <w:tab/>
      </w:r>
      <w:r>
        <w:t>Verstoß gegen § 319b Absatz 1 des Handelsgesetzbuchs,</w:t>
      </w:r>
    </w:p>
    <w:p>
      <w:pPr>
        <w:tabs>
          <w:tab w:pos="1134" w:val="left"/>
        </w:tabs>
        <w:ind w:left="1134" w:hanging="567"/>
      </w:pPr>
      <w:r>
        <w:t>c)</w:t>
      </w:r>
      <w:r>
        <w:tab/>
      </w:r>
      <w:r>
        <w:t>Verstoß gegen die Verordnung (EU) Nr. 537/2014 des Europäischen Parlaments und des Rates vom 16. April 2014 über spezifische Anforderungen an die Abschlussprüfung bei Unternehmen von öffentlichem Interesse und zur Aufhebung des Beschlusses 2005/909/EG der Kommission (ABl. L 158 vom 27.5.2014, S. 77, L 170 vom 11.6.2014, S. 66),</w:t>
      </w:r>
    </w:p>
    <w:p>
      <w:pPr>
        <w:tabs>
          <w:tab w:pos="567" w:val="left"/>
        </w:tabs>
        <w:ind w:left="567" w:hanging="567"/>
      </w:pPr>
      <w:r>
        <w:t>4.</w:t>
      </w:r>
      <w:r>
        <w:tab/>
      </w:r>
      <w:r>
        <w:t>bei seiner Feststellung die Bestimmungen des Gesetzes oder der Satzung über die Einstellung von Beträgen in Kapital- oder Gewinnrücklagen oder über die Entnahme von Beträgen aus Kapital- oder Gewinnrücklagen verletzt worden sind.</w:t>
      </w:r>
    </w:p>
    <w:p>
      <w:r>
        <w:t>(2) Ein von Vorstand und Aufsichtsrat festgestellter Jahresabschluß ist außer nach Absatz 1 nur nichtig, wenn der Vorstand oder der Aufsichtsrat bei seiner Feststellung nicht ordnungsgemäß mitgewirkt hat.</w:t>
      </w:r>
    </w:p>
    <w:p>
      <w:r>
        <w:t>(3) Ein von der Hauptversammlung festgestellter Jahresabschluß ist außer nach Absatz 1 nur nichtig, wenn die Feststellung</w:t>
      </w:r>
    </w:p>
    <w:p>
      <w:pPr>
        <w:tabs>
          <w:tab w:pos="567" w:val="left"/>
        </w:tabs>
        <w:ind w:left="567" w:hanging="567"/>
      </w:pPr>
      <w:r>
        <w:t>1.</w:t>
      </w:r>
      <w:r>
        <w:tab/>
      </w:r>
      <w:r>
        <w:t xml:space="preserve">in einer Hauptversammlung beschlossen worden ist, die unter Verstoß gegen </w:t>
      </w:r>
      <w:hyperlink w:anchor="b152" w:history="1">
        <w:r>
          <w:rPr>
            <w:color w:val="0A3A8C"/>
            <w:u w:val="single"/>
          </w:rPr>
          <w:t xml:space="preserve">§ 121</w:t>
        </w:r>
      </w:hyperlink>
      <w:r>
        <w:t xml:space="preserve"> Abs. 2 und 3 Satz 1 oder Abs. 4 einberufen war,</w:t>
      </w:r>
    </w:p>
    <w:p>
      <w:pPr>
        <w:tabs>
          <w:tab w:pos="567" w:val="left"/>
        </w:tabs>
        <w:ind w:left="567" w:hanging="567"/>
      </w:pPr>
      <w:r>
        <w:t>2.</w:t>
      </w:r>
      <w:r>
        <w:tab/>
      </w:r>
      <w:r>
        <w:t xml:space="preserve">nicht nach </w:t>
      </w:r>
      <w:hyperlink w:anchor="b164" w:history="1">
        <w:r>
          <w:rPr>
            <w:color w:val="0A3A8C"/>
            <w:u w:val="single"/>
          </w:rPr>
          <w:t xml:space="preserve">§ 130</w:t>
        </w:r>
      </w:hyperlink>
      <w:r>
        <w:t xml:space="preserve"> Abs. 1 und 2 Satz 1 und Abs. 4 beurkundet ist,</w:t>
      </w:r>
    </w:p>
    <w:p>
      <w:pPr>
        <w:tabs>
          <w:tab w:pos="567" w:val="left"/>
        </w:tabs>
        <w:ind w:left="567" w:hanging="567"/>
      </w:pPr>
      <w:r>
        <w:t>3.</w:t>
      </w:r>
      <w:r>
        <w:tab/>
      </w:r>
      <w:r>
        <w:t>auf Anfechtungsklage durch Urteil rechtskräftig für nichtig erklärt worden ist.</w:t>
      </w:r>
    </w:p>
    <w:p>
      <w:r>
        <w:t>(4) Wegen Verstoßes gegen die Vorschriften über die Gliederung des Jahresabschlusses sowie wegen der Nichtbeachtung von Formblättern, nach denen der Jahresabschluß zu gliedern ist, ist der Jahresabschluß nur nichtig, wenn seine Klarheit und Übersichtlichkeit dadurch wesentlich beeinträchtigt sind.</w:t>
      </w:r>
    </w:p>
    <w:p>
      <w:r>
        <w:t xml:space="preserve">(5) </w:t>
      </w:r>
      <w:r>
        <w:rPr>
          <w:rStyle w:val="Satznummer"/>
        </w:rPr>
        <w:t>1</w:t>
      </w:r>
      <w:r>
        <w:t>Wegen Verstoßes gegen die Bewertungsvorschriften ist der Jahresabschluß nur nichtig, wenn</w:t>
      </w:r>
    </w:p>
    <w:p>
      <w:pPr>
        <w:tabs>
          <w:tab w:pos="567" w:val="left"/>
        </w:tabs>
        <w:ind w:left="567" w:hanging="567"/>
      </w:pPr>
      <w:r>
        <w:t>1.</w:t>
      </w:r>
      <w:r>
        <w:tab/>
      </w:r>
      <w:r>
        <w:t>Posten überbewertet oder</w:t>
      </w:r>
    </w:p>
    <w:p>
      <w:pPr>
        <w:tabs>
          <w:tab w:pos="567" w:val="left"/>
        </w:tabs>
        <w:ind w:left="567" w:hanging="567"/>
      </w:pPr>
      <w:r>
        <w:t>2.</w:t>
      </w:r>
      <w:r>
        <w:tab/>
      </w:r>
      <w:r>
        <w:t>Posten unterbewertet sind und dadurch die Vermögens- und Ertragslage der Gesellschaft vorsätzlich unrichtig wiedergegeben oder verschleiert wird.</w:t>
      </w:r>
    </w:p>
    <w:p>
      <w:r>
        <w:rPr>
          <w:rStyle w:val="Satznummer"/>
        </w:rPr>
        <w:t>2</w:t>
      </w:r>
      <w:r>
        <w:t xml:space="preserve">Überbewertet sind Aktivposten, wenn sie mit einem höheren Wert, Passivposten, wenn sie mit einem niedrigeren Betrag angesetzt sind, als nach §§ 253 bis 256a des Handelsgesetzbuchs zulässig ist. </w:t>
      </w:r>
      <w:r>
        <w:rPr>
          <w:rStyle w:val="Satznummer"/>
        </w:rPr>
        <w:t>3</w:t>
      </w:r>
      <w:r>
        <w:t xml:space="preserve">Unterbewertet sind Aktivposten, wenn sie mit einem niedrigeren Wert, Passivposten, wenn sie mit einem höheren Betrag angesetzt sind, als nach §§ 253 bis 256a des Handelsgesetzbuchs zulässig ist. </w:t>
      </w:r>
      <w:r>
        <w:rPr>
          <w:rStyle w:val="Satznummer"/>
        </w:rPr>
        <w:t>4</w:t>
      </w:r>
      <w:r>
        <w:t>Bei Kreditinstituten, Finanzdienstleistungsinstituten oder bei Wertpapierinstituten sowie bei Kapitalverwaltungsgesellschaften im Sinn des § 17 des Kapitalanlagegesetzbuchs liegt ein Verstoß gegen die Bewertungsvorschriften nicht vor, soweit die Abweichung nach den für sie geltenden Vorschriften, insbesondere den §§ 340e bis 340g des Handelsgesetzbuchs, zulässig ist; dies gilt entsprechend für Versicherungsunternehmen nach Maßgabe der für sie geltenden Vorschriften, insbesondere der §§ 341b bis 341h des Handelsgesetzbuchs.</w:t>
      </w:r>
    </w:p>
    <w:p>
      <w:r>
        <w:t xml:space="preserve">(6) </w:t>
      </w:r>
      <w:r>
        <w:rPr>
          <w:rStyle w:val="Satznummer"/>
        </w:rPr>
        <w:t>1</w:t>
      </w:r>
      <w:r>
        <w:t xml:space="preserve">Die Nichtigkeit nach Absatz 1 Nr. 1, 3 und 4, Absatz 2, Absatz 3 Nr. 1 und 2, Absatz 4 und 5 kann nicht mehr geltend gemacht werden, wenn seit der Einstellung des Jahresabschlusses in das Unternehmensregister in den Fällen des Absatzes 1 Nr. 3 und 4, des Absatzes 2 und des Absatzes 3 Nr. 1 und 2 sechs Monate, in den anderen Fällen drei Jahre verstrichen sind. </w:t>
      </w:r>
      <w:r>
        <w:rPr>
          <w:rStyle w:val="Satznummer"/>
        </w:rPr>
        <w:t>2</w:t>
      </w:r>
      <w:r>
        <w:t>Ist bei Ablauf der Frist eine Klage auf Feststellung der Nichtigkeit des Jahresabschlusses rechtshängig, so verlängert sich die Frist, bis über die Klage rechtskräftig entschieden ist oder sie sich auf andere Weise endgültig erledigt hat.</w:t>
      </w:r>
    </w:p>
    <w:p>
      <w:r>
        <w:t xml:space="preserve">(7) </w:t>
      </w:r>
      <w:r>
        <w:rPr>
          <w:rStyle w:val="Satznummer"/>
        </w:rPr>
        <w:t>1</w:t>
      </w:r>
      <w:r>
        <w:t xml:space="preserve">Für die Klage auf Feststellung der Nichtigkeit gegen die Gesellschaft gilt </w:t>
      </w:r>
      <w:hyperlink w:anchor="b314" w:history="1">
        <w:r>
          <w:rPr>
            <w:color w:val="0A3A8C"/>
            <w:u w:val="single"/>
          </w:rPr>
          <w:t xml:space="preserve">§ 249</w:t>
        </w:r>
      </w:hyperlink>
      <w:r>
        <w:t xml:space="preserve"> sinngemäß. </w:t>
      </w:r>
      <w:r>
        <w:rPr>
          <w:rStyle w:val="Satznummer"/>
        </w:rPr>
        <w:t>2</w:t>
      </w:r>
      <w:r>
        <w:t>Ist für die Gesellschaft als Emittentin von zugelassenen Wertpapieren im Sinne des § 2 Absatz 1 des Wertpapierhandelsgesetzes mit Ausnahme von Anteilen und Aktien an offenen Investmentvermögen im Sinne des § 1 Absatz 4 des Kapitalanlagegesetzbuchs die Bundesrepublik Deutschland der Herkunftsstaat (§ 2 Absatz 13 des Wertpapierhandelsgesetzes), so hat das Gericht der Bundesanstalt für Finanzdienstleistungsaufsicht den Eingang einer Klage auf Feststellung der Nichtigkeit sowie jede rechtskräftige Entscheidung über diese Klage mitzuteilen.</w:t>
      </w:r>
    </w:p>
    <w:p>
      <w:pPr>
        <w:pStyle w:val="Heading4"/>
      </w:pPr>
      <w:bookmarkStart w:id="327" w:name="b326"/>
      <w:r>
        <w:t>§ 257 Anfechtung der Feststellung des Jahresabschlusses durch die Hauptversammlung</w:t>
      </w:r>
      <w:r>
        <w:t xml:space="preserve"> </w:t>
      </w:r>
      <w:r>
        <w:rPr>
          <w:rStyle w:val="Suchmarke"/>
        </w:rPr>
        <w:t>#257#</w:t>
      </w:r>
      <w:bookmarkEnd w:id="327"/>
    </w:p>
    <w:p>
      <w:r>
        <w:t xml:space="preserve">(1) </w:t>
      </w:r>
      <w:r>
        <w:rPr>
          <w:rStyle w:val="Satznummer"/>
        </w:rPr>
        <w:t>1</w:t>
      </w:r>
      <w:r>
        <w:t xml:space="preserve">Die Feststellung des Jahresabschlusses durch die Hauptversammlung kann nach </w:t>
      </w:r>
      <w:hyperlink w:anchor="b306" w:history="1">
        <w:r>
          <w:rPr>
            <w:color w:val="0A3A8C"/>
            <w:u w:val="single"/>
          </w:rPr>
          <w:t xml:space="preserve">§ 243</w:t>
        </w:r>
      </w:hyperlink>
      <w:r>
        <w:t xml:space="preserve"> angefochten werden. </w:t>
      </w:r>
      <w:r>
        <w:rPr>
          <w:rStyle w:val="Satznummer"/>
        </w:rPr>
        <w:t>2</w:t>
      </w:r>
      <w:r>
        <w:t>Die Anfechtung kann jedoch nicht darauf gestützt werden, daß der Inhalt des Jahresabschlusses gegen Gesetz oder Satzung verstößt.</w:t>
      </w:r>
    </w:p>
    <w:p>
      <w:r>
        <w:t xml:space="preserve">(2) </w:t>
      </w:r>
      <w:r>
        <w:rPr>
          <w:rStyle w:val="Satznummer"/>
        </w:rPr>
        <w:t>1</w:t>
      </w:r>
      <w:r>
        <w:t xml:space="preserve">Für die Anfechtung gelten die </w:t>
      </w:r>
      <w:hyperlink w:anchor="b307" w:history="1">
        <w:r>
          <w:rPr>
            <w:color w:val="0A3A8C"/>
            <w:u w:val="single"/>
          </w:rPr>
          <w:t xml:space="preserve">§§ 244</w:t>
        </w:r>
      </w:hyperlink>
      <w:r>
        <w:t xml:space="preserve"> bis </w:t>
      </w:r>
      <w:hyperlink w:anchor="b309" w:history="1">
        <w:r>
          <w:rPr>
            <w:color w:val="0A3A8C"/>
            <w:u w:val="single"/>
          </w:rPr>
          <w:t xml:space="preserve">246</w:t>
        </w:r>
      </w:hyperlink>
      <w:r>
        <w:t xml:space="preserve">, </w:t>
      </w:r>
      <w:hyperlink w:anchor="b311" w:history="1">
        <w:r>
          <w:rPr>
            <w:color w:val="0A3A8C"/>
            <w:u w:val="single"/>
          </w:rPr>
          <w:t xml:space="preserve">247</w:t>
        </w:r>
      </w:hyperlink>
      <w:r>
        <w:t xml:space="preserve"> bis </w:t>
      </w:r>
      <w:hyperlink w:anchor="b313" w:history="1">
        <w:r>
          <w:rPr>
            <w:color w:val="0A3A8C"/>
            <w:u w:val="single"/>
          </w:rPr>
          <w:t xml:space="preserve">248a</w:t>
        </w:r>
      </w:hyperlink>
      <w:r>
        <w:t xml:space="preserve">. </w:t>
      </w:r>
      <w:r>
        <w:rPr>
          <w:rStyle w:val="Satznummer"/>
        </w:rPr>
        <w:t>2</w:t>
      </w:r>
      <w:r>
        <w:t>Die Anfechtungsfrist beginnt auch dann mit der Beschlußfassung, wenn der Jahresabschluß nach § 316 Abs. 3 des Handelsgesetzbuchs erneut zu prüfen ist.</w:t>
      </w:r>
    </w:p>
    <w:p>
      <w:pPr>
        <w:pStyle w:val="Heading3"/>
      </w:pPr>
      <w:bookmarkStart w:id="328" w:name="b327"/>
      <w:r>
        <w:t>Dritter Abschnitt Sonderprüfung wegen unzulässiger Unterbewertung</w:t>
      </w:r>
      <w:bookmarkEnd w:id="328"/>
    </w:p>
    <w:p>
      <w:pPr>
        <w:pStyle w:val="Heading4"/>
      </w:pPr>
      <w:bookmarkStart w:id="329" w:name="b328"/>
      <w:r>
        <w:t>§ 258 Bestellung der Sonderprüfer</w:t>
      </w:r>
      <w:r>
        <w:t xml:space="preserve"> </w:t>
      </w:r>
      <w:r>
        <w:rPr>
          <w:rStyle w:val="Suchmarke"/>
        </w:rPr>
        <w:t>#258#</w:t>
      </w:r>
      <w:bookmarkEnd w:id="329"/>
    </w:p>
    <w:p>
      <w:r>
        <w:t xml:space="preserve">(1) </w:t>
      </w:r>
      <w:r>
        <w:rPr>
          <w:rStyle w:val="Satznummer"/>
        </w:rPr>
        <w:t>1</w:t>
      </w:r>
      <w:r>
        <w:t>Besteht Anlaß für die Annahme, daß</w:t>
      </w:r>
    </w:p>
    <w:p>
      <w:pPr>
        <w:tabs>
          <w:tab w:pos="567" w:val="left"/>
        </w:tabs>
        <w:ind w:left="567" w:hanging="567"/>
      </w:pPr>
      <w:r>
        <w:t>1.</w:t>
      </w:r>
      <w:r>
        <w:tab/>
      </w:r>
      <w:r>
        <w:t>in einem festgestellten Jahresabschluß bestimmte Posten nicht unwesentlich unterbewertet sind (</w:t>
      </w:r>
      <w:hyperlink w:anchor="b325" w:history="1">
        <w:r>
          <w:rPr>
            <w:color w:val="0A3A8C"/>
            <w:u w:val="single"/>
          </w:rPr>
          <w:t xml:space="preserve">§ 256</w:t>
        </w:r>
      </w:hyperlink>
      <w:r>
        <w:t xml:space="preserve"> Abs. 5 Satz 3) oder</w:t>
      </w:r>
    </w:p>
    <w:p>
      <w:pPr>
        <w:tabs>
          <w:tab w:pos="567" w:val="left"/>
        </w:tabs>
        <w:ind w:left="567" w:hanging="567"/>
      </w:pPr>
      <w:r>
        <w:t>2.</w:t>
      </w:r>
      <w:r>
        <w:tab/>
      </w:r>
      <w:r>
        <w:t>der Anhang die vorgeschriebenen Angaben nicht oder nicht vollständig enthält und der Vorstand in der Hauptversammlung die fehlenden Angaben, obwohl nach ihnen gefragt worden ist, nicht gemacht hat und die Aufnahme der Frage in die Niederschrift verlangt worden ist,</w:t>
      </w:r>
    </w:p>
    <w:p>
      <w:r>
        <w:t xml:space="preserve">so hat das Gericht auf Antrag Sonderprüfer zu bestellen. </w:t>
      </w:r>
      <w:r>
        <w:rPr>
          <w:rStyle w:val="Satznummer"/>
        </w:rPr>
        <w:t>2</w:t>
      </w:r>
      <w:r>
        <w:t xml:space="preserve">Die Sonderprüfer haben die bemängelten Posten darauf zu prüfen, ob sie nicht unwesentlich unterbewertet sind. </w:t>
      </w:r>
      <w:r>
        <w:rPr>
          <w:rStyle w:val="Satznummer"/>
        </w:rPr>
        <w:t>3</w:t>
      </w:r>
      <w:r>
        <w:t>Sie haben den Anhang darauf zu prüfen, ob die vorgeschriebenen Angaben nicht oder nicht vollständig gemacht worden sind und der Vorstand in der Hauptversammlung die fehlenden Angaben, obwohl nach ihnen gefragt worden ist, nicht gemacht hat und die Aufnahme der Frage in die Niederschrift verlangt worden ist.</w:t>
      </w:r>
    </w:p>
    <w:p>
      <w:r>
        <w:t>(1a) Bei Kreditinstituten, Finanzdienstleistungsinstituten oder bei Wertpapierinstituten sowie bei Kapitalverwaltungsgesellschaften im Sinn des § 17 des Kapitalanlagegesetzbuchs kann ein Sonderprüfer nach Absatz 1 nicht bestellt werden, soweit die Unterbewertung oder die fehlenden Angaben im Anhang auf der Anwendung des § 340f des Handelsgesetzbuchs beruhen.</w:t>
      </w:r>
    </w:p>
    <w:p>
      <w:r>
        <w:t xml:space="preserve">(2) </w:t>
      </w:r>
      <w:r>
        <w:rPr>
          <w:rStyle w:val="Satznummer"/>
        </w:rPr>
        <w:t>1</w:t>
      </w:r>
      <w:r>
        <w:t xml:space="preserve">Der Antrag muß innerhalb eines Monats nach der Hauptversammlung über den Jahresabschluß gestellt werden. </w:t>
      </w:r>
      <w:r>
        <w:rPr>
          <w:rStyle w:val="Satznummer"/>
        </w:rPr>
        <w:t>2</w:t>
      </w:r>
      <w:r>
        <w:t xml:space="preserve">Dies gilt auch, wenn der Jahresabschluß nach § 316 Abs. 3 des Handelsgesetzbuchs erneut zu prüfen ist. </w:t>
      </w:r>
      <w:r>
        <w:rPr>
          <w:rStyle w:val="Satznummer"/>
        </w:rPr>
        <w:t>3</w:t>
      </w:r>
      <w:r>
        <w:t xml:space="preserve">Er kann nur von Aktionären gestellt werden, deren Anteile zusammen den Schwellenwert des </w:t>
      </w:r>
      <w:hyperlink w:anchor="b186" w:history="1">
        <w:r>
          <w:rPr>
            <w:color w:val="0A3A8C"/>
            <w:u w:val="single"/>
          </w:rPr>
          <w:t xml:space="preserve">§ 142</w:t>
        </w:r>
      </w:hyperlink>
      <w:r>
        <w:t xml:space="preserve"> Abs. 2 erreichen. </w:t>
      </w:r>
      <w:r>
        <w:rPr>
          <w:rStyle w:val="Satznummer"/>
        </w:rPr>
        <w:t>4</w:t>
      </w:r>
      <w:r>
        <w:t xml:space="preserve">Die Antragsteller haben die Aktien bis zur Entscheidung über den Antrag zu hinterlegen oder eine Versicherung des depotführenden Instituts vorzulegen, dass die Aktien so lange nicht veräußert werden, und glaubhaft zu machen, daß sie seit mindestens drei Monaten vor dem Tag der Hauptversammlung Inhaber der Aktien sind. </w:t>
      </w:r>
      <w:r>
        <w:rPr>
          <w:rStyle w:val="Satznummer"/>
        </w:rPr>
        <w:t>5</w:t>
      </w:r>
      <w:r>
        <w:t>Zur Glaubhaftmachung genügt eine eidesstattliche Versicherung vor einem Notar.</w:t>
      </w:r>
    </w:p>
    <w:p>
      <w:r>
        <w:t xml:space="preserve">(3) </w:t>
      </w:r>
      <w:r>
        <w:rPr>
          <w:rStyle w:val="Satznummer"/>
        </w:rPr>
        <w:t>1</w:t>
      </w:r>
      <w:r>
        <w:t xml:space="preserve">Vor der Bestellung hat das Gericht den Vorstand, den Aufsichtsrat und den Abschlußprüfer zu hören. </w:t>
      </w:r>
      <w:r>
        <w:rPr>
          <w:rStyle w:val="Satznummer"/>
        </w:rPr>
        <w:t>2</w:t>
      </w:r>
      <w:r>
        <w:t xml:space="preserve">Gegen die Entscheidung ist die Beschwerde zulässig. </w:t>
      </w:r>
      <w:r>
        <w:rPr>
          <w:rStyle w:val="Satznummer"/>
        </w:rPr>
        <w:t>3</w:t>
      </w:r>
      <w:r>
        <w:t>Über den Antrag gemäß Absatz 1 entscheidet das Landgericht, in dessen Bezirk die Gesellschaft ihren Sitz hat.</w:t>
      </w:r>
    </w:p>
    <w:p>
      <w:r>
        <w:t xml:space="preserve">(4) </w:t>
      </w:r>
      <w:r>
        <w:rPr>
          <w:rStyle w:val="Satznummer"/>
        </w:rPr>
        <w:t>1</w:t>
      </w:r>
      <w:r>
        <w:t xml:space="preserve">Sonderprüfer nach Absatz 1 können nur Wirtschaftsprüfer und Wirtschaftsprüfungsgesellschaften sein. </w:t>
      </w:r>
      <w:r>
        <w:rPr>
          <w:rStyle w:val="Satznummer"/>
        </w:rPr>
        <w:t>2</w:t>
      </w:r>
      <w:r>
        <w:t xml:space="preserve">Für die Auswahl gelten § 319 Absatz 2 bis 4 und § 319b Absatz 1 des Handelsgesetzbuchs und bei Gesellschaften, die Unternehmen von öffentlichem Interesse nach § 316a Satz 2 des Handelsgesetzbuchs sind, auch Artikel 5 Absatz 1 der Verordnung (EU) Nr. 537/2014 sinngemäß. </w:t>
      </w:r>
      <w:r>
        <w:rPr>
          <w:rStyle w:val="Satznummer"/>
        </w:rPr>
        <w:t>3</w:t>
      </w:r>
      <w:r>
        <w:t>Der Abschlußprüfer der Gesellschaft und Personen, die in den letzten drei Jahren vor der Bestellung Abschlußprüfer der Gesellschaft waren, können nicht Sonderprüfer nach Absatz 1 sein.</w:t>
      </w:r>
    </w:p>
    <w:p>
      <w:r>
        <w:t xml:space="preserve">(5) </w:t>
      </w:r>
      <w:r>
        <w:rPr>
          <w:rStyle w:val="Satznummer"/>
        </w:rPr>
        <w:t>1</w:t>
      </w:r>
      <w:hyperlink w:anchor="b186" w:history="1">
        <w:r>
          <w:rPr>
            <w:color w:val="0A3A8C"/>
            <w:u w:val="single"/>
          </w:rPr>
          <w:t xml:space="preserve">§ 142</w:t>
        </w:r>
      </w:hyperlink>
      <w:r>
        <w:t xml:space="preserve"> Abs. 6 über den Ersatz angemessener barer Auslagen und die Vergütung gerichtlich bestellter Sonderprüfer, </w:t>
      </w:r>
      <w:hyperlink w:anchor="b189" w:history="1">
        <w:r>
          <w:rPr>
            <w:color w:val="0A3A8C"/>
            <w:u w:val="single"/>
          </w:rPr>
          <w:t xml:space="preserve">§ 145</w:t>
        </w:r>
      </w:hyperlink>
      <w:r>
        <w:t xml:space="preserve"> Abs. 1 bis 3 über die Rechte der Sonderprüfer, </w:t>
      </w:r>
      <w:hyperlink w:anchor="b190" w:history="1">
        <w:r>
          <w:rPr>
            <w:color w:val="0A3A8C"/>
            <w:u w:val="single"/>
          </w:rPr>
          <w:t xml:space="preserve">§ 146</w:t>
        </w:r>
      </w:hyperlink>
      <w:r>
        <w:t xml:space="preserve"> über die Kosten der Sonderprüfung und § 323 des Handelsgesetzbuchs über die Verantwortlichkeit des Abschlußprüfers gelten sinngemäß. </w:t>
      </w:r>
      <w:r>
        <w:rPr>
          <w:rStyle w:val="Satznummer"/>
        </w:rPr>
        <w:t>2</w:t>
      </w:r>
      <w:r>
        <w:t xml:space="preserve">Die Sonderprüfer nach Absatz 1 haben die Rechte nach </w:t>
      </w:r>
      <w:hyperlink w:anchor="b189" w:history="1">
        <w:r>
          <w:rPr>
            <w:color w:val="0A3A8C"/>
            <w:u w:val="single"/>
          </w:rPr>
          <w:t xml:space="preserve">§ 145</w:t>
        </w:r>
      </w:hyperlink>
      <w:r>
        <w:t xml:space="preserve"> Abs. 2 auch gegenüber dem Abschlußprüfer der Gesellschaft.</w:t>
      </w:r>
    </w:p>
    <w:p>
      <w:pPr>
        <w:pStyle w:val="Heading4"/>
      </w:pPr>
      <w:bookmarkStart w:id="330" w:name="b329"/>
      <w:r>
        <w:t>§ 259 Prüfungsbericht. Abschließende Feststellungen</w:t>
      </w:r>
      <w:r>
        <w:t xml:space="preserve"> </w:t>
      </w:r>
      <w:r>
        <w:rPr>
          <w:rStyle w:val="Suchmarke"/>
        </w:rPr>
        <w:t>#259#</w:t>
      </w:r>
      <w:bookmarkEnd w:id="330"/>
    </w:p>
    <w:p>
      <w:r>
        <w:t xml:space="preserve">(1) </w:t>
      </w:r>
      <w:r>
        <w:rPr>
          <w:rStyle w:val="Satznummer"/>
        </w:rPr>
        <w:t>1</w:t>
      </w:r>
      <w:r>
        <w:t xml:space="preserve">Die Sonderprüfer haben über das Ergebnis der Prüfung schriftlich zu berichten. </w:t>
      </w:r>
      <w:r>
        <w:rPr>
          <w:rStyle w:val="Satznummer"/>
        </w:rPr>
        <w:t>2</w:t>
      </w:r>
      <w:r>
        <w:t>Stellen die Sonderprüfer bei Wahrnehmung ihrer Aufgaben fest, daß Posten überbewertet sind (</w:t>
      </w:r>
      <w:hyperlink w:anchor="b325" w:history="1">
        <w:r>
          <w:rPr>
            <w:color w:val="0A3A8C"/>
            <w:u w:val="single"/>
          </w:rPr>
          <w:t xml:space="preserve">§ 256</w:t>
        </w:r>
      </w:hyperlink>
      <w:r>
        <w:t xml:space="preserve"> Abs. 5 Satz 2), oder daß gegen die Vorschriften über die Gliederung des Jahresabschlusses verstoßen ist oder Formblätter nicht beachtet sind, so haben sie auch darüber zu berichten. </w:t>
      </w:r>
      <w:r>
        <w:rPr>
          <w:rStyle w:val="Satznummer"/>
        </w:rPr>
        <w:t>3</w:t>
      </w:r>
      <w:r>
        <w:t xml:space="preserve">Für den Bericht gilt </w:t>
      </w:r>
      <w:hyperlink w:anchor="b189" w:history="1">
        <w:r>
          <w:rPr>
            <w:color w:val="0A3A8C"/>
            <w:u w:val="single"/>
          </w:rPr>
          <w:t xml:space="preserve">§ 145</w:t>
        </w:r>
      </w:hyperlink>
      <w:r>
        <w:t xml:space="preserve"> Abs. 4 bis 6 sinngemäß.</w:t>
      </w:r>
    </w:p>
    <w:p>
      <w:r>
        <w:t xml:space="preserve">(2) </w:t>
      </w:r>
      <w:r>
        <w:rPr>
          <w:rStyle w:val="Satznummer"/>
        </w:rPr>
        <w:t>1</w:t>
      </w:r>
      <w:r>
        <w:t>Sind nach dem Ergebnis der Prüfung die bemängelten Posten nicht unwesentlich unterbewertet (</w:t>
      </w:r>
      <w:hyperlink w:anchor="b325" w:history="1">
        <w:r>
          <w:rPr>
            <w:color w:val="0A3A8C"/>
            <w:u w:val="single"/>
          </w:rPr>
          <w:t xml:space="preserve">§ 256</w:t>
        </w:r>
      </w:hyperlink>
      <w:r>
        <w:t xml:space="preserve"> Abs. 5 Satz 3), so haben die Sonderprüfer am Schluß ihres Berichts in einer abschließenden Feststellung zu erklären,</w:t>
      </w:r>
    </w:p>
    <w:p>
      <w:pPr>
        <w:tabs>
          <w:tab w:pos="567" w:val="left"/>
        </w:tabs>
        <w:ind w:left="567" w:hanging="567"/>
      </w:pPr>
      <w:r>
        <w:t>1.</w:t>
      </w:r>
      <w:r>
        <w:tab/>
      </w:r>
      <w:r>
        <w:t>zu welchem Wert die einzelnen Aktivposten mindestens und mit welchem Betrag die einzelnen Passivposten höchstens anzusetzen waren;</w:t>
      </w:r>
    </w:p>
    <w:p>
      <w:pPr>
        <w:tabs>
          <w:tab w:pos="567" w:val="left"/>
        </w:tabs>
        <w:ind w:left="567" w:hanging="567"/>
      </w:pPr>
      <w:r>
        <w:t>2.</w:t>
      </w:r>
      <w:r>
        <w:tab/>
      </w:r>
      <w:r>
        <w:t>um welchen Betrag der Jahresüberschuß sich beim Ansatz dieser Werte oder Beträge erhöht oder der Jahresfehlbetrag sich ermäßigt hätte.</w:t>
      </w:r>
    </w:p>
    <w:p>
      <w:r>
        <w:rPr>
          <w:rStyle w:val="Satznummer"/>
        </w:rPr>
        <w:t>2</w:t>
      </w:r>
      <w:r>
        <w:t xml:space="preserve">Die Sonderprüfer haben ihrer Beurteilung die Verhältnisse am Stichtag des Jahresabschlusses zugrunde zu legen. </w:t>
      </w:r>
      <w:r>
        <w:rPr>
          <w:rStyle w:val="Satznummer"/>
        </w:rPr>
        <w:t>3</w:t>
      </w:r>
      <w:r>
        <w:t>Sie haben für den Ansatz der Werte und Beträge nach Nummer 1 diejenige Bewertungs- und Abschreibungsmethode zugrunde zu legen, nach der die Gesellschaft die zu bewertenden Gegenstände oder vergleichbare Gegenstände zuletzt in zulässiger Weise bewertet hat.</w:t>
      </w:r>
    </w:p>
    <w:p>
      <w:r>
        <w:t>(3) Sind nach dem Ergebnis der Prüfung die bemängelten Posten nicht oder nur unwesentlich unterbewertet (</w:t>
      </w:r>
      <w:hyperlink w:anchor="b325" w:history="1">
        <w:r>
          <w:rPr>
            <w:color w:val="0A3A8C"/>
            <w:u w:val="single"/>
          </w:rPr>
          <w:t xml:space="preserve">§ 256</w:t>
        </w:r>
      </w:hyperlink>
      <w:r>
        <w:t xml:space="preserve"> Abs. 5 Satz 3), so haben die Sonderprüfer am Schluß ihres Berichts in einer abschließenden Feststellung zu erklären, daß nach ihrer pflichtmäßigen Prüfung und Beurteilung die bemängelten Posten nicht unzulässig unterbewertet sind.</w:t>
      </w:r>
    </w:p>
    <w:p>
      <w:r>
        <w:t xml:space="preserve">(4) </w:t>
      </w:r>
      <w:r>
        <w:rPr>
          <w:rStyle w:val="Satznummer"/>
        </w:rPr>
        <w:t>1</w:t>
      </w:r>
      <w:r>
        <w:t xml:space="preserve">Hat nach dem Ergebnis der Prüfung der Anhang die vorgeschriebenen Angaben nicht oder nicht vollständig enthalten und der Vorstand in der Hauptversammlung die fehlenden Angaben, obwohl nach ihnen gefragt worden ist, nicht gemacht und ist die Aufnahme der Frage in die Niederschrift verlangt worden, so haben die Sonderprüfer am Schluß ihres Berichts in einer abschließenden Feststellung die fehlenden Angaben zu machen. </w:t>
      </w:r>
      <w:r>
        <w:rPr>
          <w:rStyle w:val="Satznummer"/>
        </w:rPr>
        <w:t>2</w:t>
      </w:r>
      <w:r>
        <w:t xml:space="preserve">Ist die Angabe von Abweichungen von Bewertungs- oder Abschreibungsmethoden unterlassen worden, so ist in der abschließenden Feststellung auch der Betrag anzugeben, um den der Jahresüberschuß oder Jahresfehlbetrag ohne die Abweichung, deren Angabe unterlassen wurde, höher oder niedriger gewesen wäre. </w:t>
      </w:r>
      <w:r>
        <w:rPr>
          <w:rStyle w:val="Satznummer"/>
        </w:rPr>
        <w:t>3</w:t>
      </w:r>
      <w:r>
        <w:t>Sind nach dem Ergebnis der Prüfung keine Angaben nach Satz 1 unterlassen worden, so haben die Sonderprüfer in einer abschließenden Feststellung zu erklären, daß nach ihrer pflichtmäßigen Prüfung und Beurteilung im Anhang keine der vorgeschriebenen Angaben unterlassen worden ist.</w:t>
      </w:r>
    </w:p>
    <w:p>
      <w:r>
        <w:t>(5) Der Vorstand hat die abschließenden Feststellungen der Sonderprüfer nach den Absätzen 2 bis 4 unverzüglich in den Gesellschaftsblättern bekanntzumachen.</w:t>
      </w:r>
    </w:p>
    <w:p>
      <w:pPr>
        <w:pStyle w:val="Heading4"/>
      </w:pPr>
      <w:bookmarkStart w:id="331" w:name="b330"/>
      <w:r>
        <w:t>§ 260 Gerichtliche Entscheidung über die abschließenden Feststellungen der Sonderprüfer</w:t>
      </w:r>
      <w:r>
        <w:t xml:space="preserve"> </w:t>
      </w:r>
      <w:r>
        <w:rPr>
          <w:rStyle w:val="Suchmarke"/>
        </w:rPr>
        <w:t>#260#</w:t>
      </w:r>
      <w:bookmarkEnd w:id="331"/>
    </w:p>
    <w:p>
      <w:r>
        <w:t xml:space="preserve">(1) </w:t>
      </w:r>
      <w:r>
        <w:rPr>
          <w:rStyle w:val="Satznummer"/>
        </w:rPr>
        <w:t>1</w:t>
      </w:r>
      <w:r>
        <w:t xml:space="preserve">Gegen abschließende Feststellungen der Sonderprüfer nach </w:t>
      </w:r>
      <w:hyperlink w:anchor="b329" w:history="1">
        <w:r>
          <w:rPr>
            <w:color w:val="0A3A8C"/>
            <w:u w:val="single"/>
          </w:rPr>
          <w:t xml:space="preserve">§ 259</w:t>
        </w:r>
      </w:hyperlink>
      <w:r>
        <w:t xml:space="preserve"> Abs. 2 und 3 können die Gesellschaft oder Aktionäre, deren Anteile zusammen den zwanzigsten Teil des Grundkapitals oder den anteiligen Betrag von 500 000 Euro erreichen, innerhalb eines Monats nach der Veröffentlichung im Bundesanzeiger den Antrag auf Entscheidung durch das nach </w:t>
      </w:r>
      <w:hyperlink w:anchor="b167" w:history="1">
        <w:r>
          <w:rPr>
            <w:color w:val="0A3A8C"/>
            <w:u w:val="single"/>
          </w:rPr>
          <w:t xml:space="preserve">§ 132</w:t>
        </w:r>
      </w:hyperlink>
      <w:r>
        <w:t xml:space="preserve"> Abs. 1 zuständige Gericht stellen. </w:t>
      </w:r>
      <w:r>
        <w:rPr>
          <w:rStyle w:val="Satznummer"/>
        </w:rPr>
        <w:t>2</w:t>
      </w:r>
      <w:hyperlink w:anchor="b328" w:history="1">
        <w:r>
          <w:rPr>
            <w:color w:val="0A3A8C"/>
            <w:u w:val="single"/>
          </w:rPr>
          <w:t xml:space="preserve">§ 258</w:t>
        </w:r>
      </w:hyperlink>
      <w:r>
        <w:t xml:space="preserve"> Abs. 2 Satz 4 und 5 gilt sinngemäß. </w:t>
      </w:r>
      <w:r>
        <w:rPr>
          <w:rStyle w:val="Satznummer"/>
        </w:rPr>
        <w:t>3</w:t>
      </w:r>
      <w:r>
        <w:t xml:space="preserve">Der Antrag muß auf Feststellung des Betrags gerichtet sein, mit dem die im Antrag zu bezeichnenden Aktivposten mindestens oder die im Antrag zu bezeichnenden Passivposten höchstens anzusetzen waren. </w:t>
      </w:r>
      <w:r>
        <w:rPr>
          <w:rStyle w:val="Satznummer"/>
        </w:rPr>
        <w:t>4</w:t>
      </w:r>
      <w:r>
        <w:t>Der Antrag der Gesellschaft kann auch auf Feststellung gerichtet sein, daß der Jahresabschluß die in der abschließenden Feststellung der Sonderprüfer festgestellten Unterbewertungen nicht enthielt.</w:t>
      </w:r>
    </w:p>
    <w:p>
      <w:r>
        <w:t xml:space="preserve">(2) </w:t>
      </w:r>
      <w:r>
        <w:rPr>
          <w:rStyle w:val="Satznummer"/>
        </w:rPr>
        <w:t>1</w:t>
      </w:r>
      <w:r>
        <w:t xml:space="preserve">Über den Antrag entscheidet das Gericht unter Würdigung aller Umstände nach freier Überzeugung. </w:t>
      </w:r>
      <w:r>
        <w:rPr>
          <w:rStyle w:val="Satznummer"/>
        </w:rPr>
        <w:t>2</w:t>
      </w:r>
      <w:hyperlink w:anchor="b329" w:history="1">
        <w:r>
          <w:rPr>
            <w:color w:val="0A3A8C"/>
            <w:u w:val="single"/>
          </w:rPr>
          <w:t xml:space="preserve">§ 259</w:t>
        </w:r>
      </w:hyperlink>
      <w:r>
        <w:t xml:space="preserve"> Abs. 2 Satz 2 und 3 ist anzuwenden. </w:t>
      </w:r>
      <w:r>
        <w:rPr>
          <w:rStyle w:val="Satznummer"/>
        </w:rPr>
        <w:t>3</w:t>
      </w:r>
      <w:r>
        <w:t>Soweit die volle Aufklärung aller maßgebenden Umstände mit erheblichen Schwierigkeiten verbunden ist, hat das Gericht die anzusetzenden Werte oder Beträge zu schätzen.</w:t>
      </w:r>
    </w:p>
    <w:p>
      <w:r>
        <w:t xml:space="preserve">(3) </w:t>
      </w:r>
      <w:r>
        <w:rPr>
          <w:rStyle w:val="Satznummer"/>
        </w:rPr>
        <w:t>1</w:t>
      </w:r>
      <w:hyperlink w:anchor="b121" w:history="1">
        <w:r>
          <w:rPr>
            <w:color w:val="0A3A8C"/>
            <w:u w:val="single"/>
          </w:rPr>
          <w:t xml:space="preserve">§ 99</w:t>
        </w:r>
      </w:hyperlink>
      <w:r>
        <w:t xml:space="preserve"> Abs. 1, Abs. 2 Satz 1, Abs. 3 und 5 gilt sinngemäß. </w:t>
      </w:r>
      <w:r>
        <w:rPr>
          <w:rStyle w:val="Satznummer"/>
        </w:rPr>
        <w:t>2</w:t>
      </w:r>
      <w:r>
        <w:t xml:space="preserve">Das Gericht hat seine Entscheidung der Gesellschaft und, wenn Aktionäre den Antrag nach Absatz 1 gestellt haben, auch diesen zuzustellen. </w:t>
      </w:r>
      <w:r>
        <w:rPr>
          <w:rStyle w:val="Satznummer"/>
        </w:rPr>
        <w:t>3</w:t>
      </w:r>
      <w:r>
        <w:t xml:space="preserve">Es hat sie ferner ohne Gründe in den Gesellschaftsblättern bekanntzumachen. </w:t>
      </w:r>
      <w:r>
        <w:rPr>
          <w:rStyle w:val="Satznummer"/>
        </w:rPr>
        <w:t>4</w:t>
      </w:r>
      <w:r>
        <w:t xml:space="preserve">Die Beschwerde steht der Gesellschaft und Aktionären zu, deren Anteile zusammen den zwanzigsten Teil des Grundkapitals oder den anteiligen Betrag von 500 000 Euro erreichen. </w:t>
      </w:r>
      <w:r>
        <w:rPr>
          <w:rStyle w:val="Satznummer"/>
        </w:rPr>
        <w:t>5</w:t>
      </w:r>
      <w:hyperlink w:anchor="b328" w:history="1">
        <w:r>
          <w:rPr>
            <w:color w:val="0A3A8C"/>
            <w:u w:val="single"/>
          </w:rPr>
          <w:t xml:space="preserve">§ 258</w:t>
        </w:r>
      </w:hyperlink>
      <w:r>
        <w:t xml:space="preserve"> Abs. 2 Satz 4 und 5 gilt sinngemäß. </w:t>
      </w:r>
      <w:r>
        <w:rPr>
          <w:rStyle w:val="Satznummer"/>
        </w:rPr>
        <w:t>6</w:t>
      </w:r>
      <w:r>
        <w:t>Die Beschwerdefrist beginnt mit der Bekanntmachung der Entscheidung im Bundesanzeiger, jedoch für die Gesellschaft und, wenn Aktionäre den Antrag nach Absatz 1 gestellt haben, auch für diese nicht vor der Zustellung der Entscheidung.</w:t>
      </w:r>
    </w:p>
    <w:p>
      <w:r>
        <w:t xml:space="preserve">(4) </w:t>
      </w:r>
      <w:r>
        <w:rPr>
          <w:rStyle w:val="Satznummer"/>
        </w:rPr>
        <w:t>1</w:t>
      </w:r>
      <w:r>
        <w:t xml:space="preserve">Die Kosten sind, wenn dem Antrag stattgegeben wird, der Gesellschaft, sonst dem Antragsteller aufzuerlegen. </w:t>
      </w:r>
      <w:r>
        <w:rPr>
          <w:rStyle w:val="Satznummer"/>
        </w:rPr>
        <w:t>2</w:t>
      </w:r>
      <w:hyperlink w:anchor="b311" w:history="1">
        <w:r>
          <w:rPr>
            <w:color w:val="0A3A8C"/>
            <w:u w:val="single"/>
          </w:rPr>
          <w:t xml:space="preserve">§ 247</w:t>
        </w:r>
      </w:hyperlink>
      <w:r>
        <w:t xml:space="preserve"> gilt sinngemäß.</w:t>
      </w:r>
    </w:p>
    <w:p>
      <w:pPr>
        <w:pStyle w:val="Heading4"/>
      </w:pPr>
      <w:bookmarkStart w:id="332" w:name="b331"/>
      <w:r>
        <w:t>§ 261 Entscheidung über den Ertrag auf Grund höherer Bewertung</w:t>
      </w:r>
      <w:r>
        <w:t xml:space="preserve"> </w:t>
      </w:r>
      <w:r>
        <w:rPr>
          <w:rStyle w:val="Suchmarke"/>
        </w:rPr>
        <w:t>#261#</w:t>
      </w:r>
      <w:bookmarkEnd w:id="332"/>
    </w:p>
    <w:p>
      <w:r>
        <w:t xml:space="preserve">(1) </w:t>
      </w:r>
      <w:r>
        <w:rPr>
          <w:rStyle w:val="Satznummer"/>
        </w:rPr>
        <w:t>1</w:t>
      </w:r>
      <w:r>
        <w:t xml:space="preserve">Haben die Sonderprüfer in ihrer abschließenden Feststellung erklärt, daß Posten unterbewertet sind, und ist gegen diese Feststellung nicht innerhalb der in </w:t>
      </w:r>
      <w:hyperlink w:anchor="b330" w:history="1">
        <w:r>
          <w:rPr>
            <w:color w:val="0A3A8C"/>
            <w:u w:val="single"/>
          </w:rPr>
          <w:t xml:space="preserve">§ 260</w:t>
        </w:r>
      </w:hyperlink>
      <w:r>
        <w:t xml:space="preserve"> Abs. 1 bestimmten Frist der Antrag auf gerichtliche Entscheidung gestellt worden, so sind die Posten in dem ersten Jahresabschluß, der nach Ablauf dieser Frist aufgestellt wird, mit den von den Sonderprüfern festgestellten Werten oder Beträgen anzusetzen. </w:t>
      </w:r>
      <w:r>
        <w:rPr>
          <w:rStyle w:val="Satznummer"/>
        </w:rPr>
        <w:t>2</w:t>
      </w:r>
      <w:r>
        <w:t xml:space="preserve">Dies gilt nicht, soweit auf Grund veränderter Verhältnisse, namentlich bei Gegenständen, die der Abnutzung unterliegen, auf Grund der Abnutzung, nach §§ 253 bis 256a des Handelsgesetzbuchs oder nach den Grundsätzen ordnungsmäßiger Buchführung für Aktivposten ein niedrigerer Wert oder für Passivposten ein höherer Betrag anzusetzen ist. </w:t>
      </w:r>
      <w:r>
        <w:rPr>
          <w:rStyle w:val="Satznummer"/>
        </w:rPr>
        <w:t>3</w:t>
      </w:r>
      <w:r>
        <w:t xml:space="preserve">In diesem Fall sind im Anhang die Gründe anzugeben und in einer Sonderrechnung die Entwicklung des von den Sonderprüfern festgestellten Wertes oder Betrags auf den nach Satz 2 angesetzten Wert oder Betrag darzustellen. </w:t>
      </w:r>
      <w:r>
        <w:rPr>
          <w:rStyle w:val="Satznummer"/>
        </w:rPr>
        <w:t>4</w:t>
      </w:r>
      <w:r>
        <w:t xml:space="preserve">Sind die Gegenstände nicht mehr vorhanden, so ist darüber und über die Verwendung des Ertrags aus dem Abgang der Gegenstände im Anhang zu berichten. </w:t>
      </w:r>
      <w:r>
        <w:rPr>
          <w:rStyle w:val="Satznummer"/>
        </w:rPr>
        <w:t>5</w:t>
      </w:r>
      <w:r>
        <w:t xml:space="preserve">Bei den einzelnen Posten der Jahresbilanz sind die Unterschiedsbeträge zu vermerken, um die auf Grund von Satz 1 und 2 Aktivposten zu einem höheren Wert oder Passivposten mit einem niedrigeren Betrag angesetzt worden sind. </w:t>
      </w:r>
      <w:r>
        <w:rPr>
          <w:rStyle w:val="Satznummer"/>
        </w:rPr>
        <w:t>6</w:t>
      </w:r>
      <w:r>
        <w:t xml:space="preserve">Die Summe der Unterschiedsbeträge ist auf der Passivseite der Bilanz und in der Gewinn- und Verlustrechnung als "Ertrag auf Grund höherer Bewertung gemäß dem Ergebnis der Sonderprüfung" gesondert auszuweisen. </w:t>
      </w:r>
      <w:r>
        <w:rPr>
          <w:rStyle w:val="Satznummer"/>
        </w:rPr>
        <w:t>7</w:t>
      </w:r>
      <w:r>
        <w:t>Ist die Gesellschaft eine kleine Kapitalgesellschaft (§ 267 Absatz 1 des Handelsgesetzbuchs), hat sie die Sätze 3 und 4 nur anzuwenden, wenn die Voraussetzungen des § 264 Absatz 2 Satz 2 des Handelsgesetzbuchs unter Berücksichtigung der nach diesem Abschnitt durchgeführten Sonderprüfung vorliegen.</w:t>
      </w:r>
    </w:p>
    <w:p>
      <w:r>
        <w:t xml:space="preserve">(2) </w:t>
      </w:r>
      <w:r>
        <w:rPr>
          <w:rStyle w:val="Satznummer"/>
        </w:rPr>
        <w:t>1</w:t>
      </w:r>
      <w:r>
        <w:t xml:space="preserve">Hat das gemäß </w:t>
      </w:r>
      <w:hyperlink w:anchor="b330" w:history="1">
        <w:r>
          <w:rPr>
            <w:color w:val="0A3A8C"/>
            <w:u w:val="single"/>
          </w:rPr>
          <w:t xml:space="preserve">§ 260</w:t>
        </w:r>
      </w:hyperlink>
      <w:r>
        <w:t xml:space="preserve"> angerufene Gericht festgestellt, daß Posten unterbewertet sind, so gilt für den Ansatz der Posten in dem ersten Jahresabschluß, der nach Rechtskraft der gerichtlichen Entscheidung aufgestellt wird, Absatz 1 sinngemäß. </w:t>
      </w:r>
      <w:r>
        <w:rPr>
          <w:rStyle w:val="Satznummer"/>
        </w:rPr>
        <w:t>2</w:t>
      </w:r>
      <w:r>
        <w:t>Die Summe der Unterschiedsbeträge ist als "Ertrag auf Grund höherer Bewertung gemäß gerichtlicher Entscheidung" gesondert auszuweisen.</w:t>
      </w:r>
    </w:p>
    <w:p>
      <w:r>
        <w:t xml:space="preserve">(3) </w:t>
      </w:r>
      <w:r>
        <w:rPr>
          <w:rStyle w:val="Satznummer"/>
        </w:rPr>
        <w:t>1</w:t>
      </w:r>
      <w:r>
        <w:t xml:space="preserve">Der Ertrag aus höherer Bewertung nach Absätzen 1 und 2 rechnet für die Anwendung des </w:t>
      </w:r>
      <w:hyperlink w:anchor="b65" w:history="1">
        <w:r>
          <w:rPr>
            <w:color w:val="0A3A8C"/>
            <w:u w:val="single"/>
          </w:rPr>
          <w:t xml:space="preserve">§ 58</w:t>
        </w:r>
      </w:hyperlink>
      <w:r>
        <w:t xml:space="preserve"> nicht zum Jahresüberschuß. </w:t>
      </w:r>
      <w:r>
        <w:rPr>
          <w:rStyle w:val="Satznummer"/>
        </w:rPr>
        <w:t>2</w:t>
      </w:r>
      <w:r>
        <w:t>Über die Verwendung des Ertrags abzüglich der auf ihn zu entrichtenden Steuern entscheidet die Hauptversammlung, soweit nicht in dem Jahresabschluß ein Bilanzverlust ausgewiesen wird, der nicht durch Kapital- oder Gewinnrücklagen gedeckt ist.</w:t>
      </w:r>
    </w:p>
    <w:p>
      <w:pPr>
        <w:pStyle w:val="Heading4"/>
      </w:pPr>
      <w:bookmarkStart w:id="333" w:name="b332"/>
      <w:r>
        <w:t>§ 261a Mitteilungen an die Bundesanstalt für Finanzdienstleistungsaufsicht</w:t>
      </w:r>
      <w:r>
        <w:t xml:space="preserve"> </w:t>
      </w:r>
      <w:r>
        <w:rPr>
          <w:rStyle w:val="Suchmarke"/>
        </w:rPr>
        <w:t>#261a#</w:t>
      </w:r>
      <w:bookmarkEnd w:id="333"/>
    </w:p>
    <w:p>
      <w:r>
        <w:t xml:space="preserve">Das Gericht hat der Bundesanstalt für Finanzdienstleistungsaufsicht den Eingang eines Antrags auf Bestellung eines Sonderprüfers, jede rechtskräftige Entscheidung über die Bestellung von Sonderprüfern, den Prüfungsbericht sowie eine rechtskräftige gerichtliche Entscheidung über abschließende Feststellungen der Sonderprüfer nach </w:t>
      </w:r>
      <w:hyperlink w:anchor="b330" w:history="1">
        <w:r>
          <w:rPr>
            <w:color w:val="0A3A8C"/>
            <w:u w:val="single"/>
          </w:rPr>
          <w:t xml:space="preserve">§ 260</w:t>
        </w:r>
      </w:hyperlink>
      <w:r>
        <w:t xml:space="preserve"> mitzuteilen, wenn für die Gesellschaft als Emittentin von zugelassenen Wertpapieren im Sinne des § 2 Absatz 1 des Wertpapierhandelsgesetzes mit Ausnahme von Anteilen und Aktien an offenen Investmentvermögen im Sinne des § 1 Absatz 4 des Kapitalanlagegesetzbuchs die Bundesrepublik Deutschland der Herkunftsstaat (§ 2 Absatz 13 des Wertpapierhandelsgesetzes) ist.</w:t>
      </w:r>
    </w:p>
    <w:p>
      <w:pPr>
        <w:pStyle w:val="Heading2"/>
      </w:pPr>
      <w:bookmarkStart w:id="334" w:name="b333"/>
      <w:r>
        <w:t>Achter Teil Auflösung und Nichtigerklärung der Gesellschaft</w:t>
      </w:r>
      <w:bookmarkEnd w:id="334"/>
    </w:p>
    <w:p>
      <w:pPr>
        <w:pStyle w:val="Heading3"/>
      </w:pPr>
      <w:bookmarkStart w:id="335" w:name="b334"/>
      <w:r>
        <w:t>Erster Abschnitt Auflösung</w:t>
      </w:r>
      <w:bookmarkEnd w:id="335"/>
    </w:p>
    <w:p>
      <w:pPr>
        <w:pStyle w:val="Heading4"/>
      </w:pPr>
      <w:bookmarkStart w:id="336" w:name="b335"/>
      <w:r>
        <w:t>Erster Unterabschnitt Auflösungsgründe und Anmeldung</w:t>
      </w:r>
      <w:bookmarkEnd w:id="336"/>
    </w:p>
    <w:p>
      <w:pPr>
        <w:pStyle w:val="Heading5"/>
      </w:pPr>
      <w:bookmarkStart w:id="337" w:name="b336"/>
      <w:r>
        <w:t>§ 262 Auflösungsgründe</w:t>
      </w:r>
      <w:r>
        <w:t xml:space="preserve"> </w:t>
      </w:r>
      <w:r>
        <w:rPr>
          <w:rStyle w:val="Suchmarke"/>
        </w:rPr>
        <w:t>#262#</w:t>
      </w:r>
      <w:bookmarkEnd w:id="337"/>
    </w:p>
    <w:p>
      <w:r>
        <w:t>(1) Die Aktiengesellschaft wird aufgelöst</w:t>
      </w:r>
    </w:p>
    <w:p>
      <w:pPr>
        <w:tabs>
          <w:tab w:pos="567" w:val="left"/>
        </w:tabs>
        <w:ind w:left="567" w:hanging="567"/>
      </w:pPr>
      <w:r>
        <w:t>1.</w:t>
      </w:r>
      <w:r>
        <w:tab/>
      </w:r>
      <w:r>
        <w:t>durch Ablauf der in der Satzung bestimmten Zeit;</w:t>
      </w:r>
    </w:p>
    <w:p>
      <w:pPr>
        <w:tabs>
          <w:tab w:pos="567" w:val="left"/>
        </w:tabs>
        <w:ind w:left="567" w:hanging="567"/>
      </w:pPr>
      <w:r>
        <w:t>2.</w:t>
      </w:r>
      <w:r>
        <w:tab/>
      </w:r>
      <w:r>
        <w:t>durch Beschluß der Hauptversammlung; dieser bedarf einer Mehrheit, die mindestens drei Viertel des bei der Beschlußfassung vertretenen Grundkapitals umfaßt; die Satzung kann eine größere Kapitalmehrheit und weitere Erfordernisse bestimmen;</w:t>
      </w:r>
    </w:p>
    <w:p>
      <w:pPr>
        <w:tabs>
          <w:tab w:pos="567" w:val="left"/>
        </w:tabs>
        <w:ind w:left="567" w:hanging="567"/>
      </w:pPr>
      <w:r>
        <w:t>3.</w:t>
      </w:r>
      <w:r>
        <w:tab/>
      </w:r>
      <w:r>
        <w:t>durch die Eröffnung des Insolvenzverfahrens über das Vermögen der Gesellschaft;</w:t>
      </w:r>
    </w:p>
    <w:p>
      <w:pPr>
        <w:tabs>
          <w:tab w:pos="567" w:val="left"/>
        </w:tabs>
        <w:ind w:left="567" w:hanging="567"/>
      </w:pPr>
      <w:r>
        <w:t>4.</w:t>
      </w:r>
      <w:r>
        <w:tab/>
      </w:r>
      <w:r>
        <w:t>mit der Rechtskraft des Beschlusses, durch den die Eröffnung des Insolvenzverfahrens mangels Masse abgelehnt wird;</w:t>
      </w:r>
    </w:p>
    <w:p>
      <w:pPr>
        <w:tabs>
          <w:tab w:pos="567" w:val="left"/>
        </w:tabs>
        <w:ind w:left="567" w:hanging="567"/>
      </w:pPr>
      <w:r>
        <w:t>5.</w:t>
      </w:r>
      <w:r>
        <w:tab/>
      </w:r>
      <w:r>
        <w:t>mit der Rechtskraft einer Verfügung des Registergerichts, durch welche nach § 399 des Gesetzes über das Verfahren in Familiensachen und in den Angelegenheiten der freiwilligen Gerichtsbarkeit ein Mangel der Satzung festgestellt worden ist;</w:t>
      </w:r>
    </w:p>
    <w:p>
      <w:pPr>
        <w:tabs>
          <w:tab w:pos="567" w:val="left"/>
        </w:tabs>
        <w:ind w:left="567" w:hanging="567"/>
      </w:pPr>
      <w:r>
        <w:t>6.</w:t>
      </w:r>
      <w:r>
        <w:tab/>
      </w:r>
      <w:r>
        <w:t>durch Löschung der Gesellschaft wegen Vermögenslosigkeit nach § 394 des Gesetzes über das Verfahren in Familiensachen und in den Angelegenheiten der freiwilligen Gerichtsbarkeit.</w:t>
      </w:r>
    </w:p>
    <w:p>
      <w:r>
        <w:t>(2) Dieser Abschnitt gilt auch, wenn die Aktiengesellschaft aus anderen Gründen aufgelöst wird.</w:t>
      </w:r>
    </w:p>
    <w:p>
      <w:pPr>
        <w:pStyle w:val="Heading5"/>
      </w:pPr>
      <w:bookmarkStart w:id="338" w:name="b337"/>
      <w:r>
        <w:t>§ 263 Anmeldung und Eintragung der Auflösung</w:t>
      </w:r>
      <w:r>
        <w:t xml:space="preserve"> </w:t>
      </w:r>
      <w:r>
        <w:rPr>
          <w:rStyle w:val="Suchmarke"/>
        </w:rPr>
        <w:t>#263#</w:t>
      </w:r>
      <w:bookmarkEnd w:id="338"/>
    </w:p>
    <w:p>
      <w:r>
        <w:rPr>
          <w:rStyle w:val="Satznummer"/>
        </w:rPr>
        <w:t>1</w:t>
      </w:r>
      <w:r>
        <w:t xml:space="preserve">Der Vorstand hat die Auflösung der Gesellschaft zur Eintragung in das Handelsregister anzumelden. </w:t>
      </w:r>
      <w:r>
        <w:rPr>
          <w:rStyle w:val="Satznummer"/>
        </w:rPr>
        <w:t>2</w:t>
      </w:r>
      <w:r>
        <w:t>Dies gilt nicht in den Fällen der Eröffnung und der Ablehnung der Eröffnung des Insolvenzverfahrens (</w:t>
      </w:r>
      <w:hyperlink w:anchor="b336" w:history="1">
        <w:r>
          <w:rPr>
            <w:color w:val="0A3A8C"/>
            <w:u w:val="single"/>
          </w:rPr>
          <w:t xml:space="preserve">§ 262</w:t>
        </w:r>
      </w:hyperlink>
      <w:r>
        <w:t xml:space="preserve"> Abs. 1 Nr. 3 und 4) sowie im Falle der gerichtlichen Feststellung eines Mangels der Satzung (</w:t>
      </w:r>
      <w:hyperlink w:anchor="b336" w:history="1">
        <w:r>
          <w:rPr>
            <w:color w:val="0A3A8C"/>
            <w:u w:val="single"/>
          </w:rPr>
          <w:t xml:space="preserve">§ 262</w:t>
        </w:r>
      </w:hyperlink>
      <w:r>
        <w:t xml:space="preserve"> Abs. 1 Nr. 5). </w:t>
      </w:r>
      <w:r>
        <w:rPr>
          <w:rStyle w:val="Satznummer"/>
        </w:rPr>
        <w:t>3</w:t>
      </w:r>
      <w:r>
        <w:t xml:space="preserve">In diesen Fällen hat das Gericht die Auflösung und ihren Grund von Amts wegen einzutragen. </w:t>
      </w:r>
      <w:r>
        <w:rPr>
          <w:rStyle w:val="Satznummer"/>
        </w:rPr>
        <w:t>4</w:t>
      </w:r>
      <w:r>
        <w:t>Im Falle der Löschung der Gesellschaft (</w:t>
      </w:r>
      <w:hyperlink w:anchor="b336" w:history="1">
        <w:r>
          <w:rPr>
            <w:color w:val="0A3A8C"/>
            <w:u w:val="single"/>
          </w:rPr>
          <w:t xml:space="preserve">§ 262</w:t>
        </w:r>
      </w:hyperlink>
      <w:r>
        <w:t xml:space="preserve"> Abs. 1 Nr. 6) entfällt die Eintragung der Auflösung.</w:t>
      </w:r>
    </w:p>
    <w:p>
      <w:pPr>
        <w:pStyle w:val="Heading4"/>
      </w:pPr>
      <w:bookmarkStart w:id="339" w:name="b338"/>
      <w:r>
        <w:t>Zweiter Unterabschnitt Abwicklung</w:t>
      </w:r>
      <w:bookmarkEnd w:id="339"/>
    </w:p>
    <w:p>
      <w:pPr>
        <w:pStyle w:val="Heading5"/>
      </w:pPr>
      <w:bookmarkStart w:id="340" w:name="b339"/>
      <w:r>
        <w:t>§ 264 Notwendigkeit der Abwicklung</w:t>
      </w:r>
      <w:r>
        <w:t xml:space="preserve"> </w:t>
      </w:r>
      <w:r>
        <w:rPr>
          <w:rStyle w:val="Suchmarke"/>
        </w:rPr>
        <w:t>#264#</w:t>
      </w:r>
      <w:bookmarkEnd w:id="340"/>
    </w:p>
    <w:p>
      <w:r>
        <w:t>(1) Nach der Auflösung der Gesellschaft findet die Abwicklung statt, wenn nicht über das Vermögen der Gesellschaft das Insolvenzverfahren eröffnet worden ist.</w:t>
      </w:r>
    </w:p>
    <w:p>
      <w:r>
        <w:t xml:space="preserve">(2) </w:t>
      </w:r>
      <w:r>
        <w:rPr>
          <w:rStyle w:val="Satznummer"/>
        </w:rPr>
        <w:t>1</w:t>
      </w:r>
      <w:r>
        <w:t xml:space="preserve">Ist die Gesellschaft durch Löschung wegen Vermögenslosigkeit aufgelöst, so findet eine Abwicklung nur statt, wenn sich nach der Löschung herausstellt, daß Vermögen vorhanden ist, das der Verteilung unterliegt. </w:t>
      </w:r>
      <w:r>
        <w:rPr>
          <w:rStyle w:val="Satznummer"/>
        </w:rPr>
        <w:t>2</w:t>
      </w:r>
      <w:r>
        <w:t>Die Abwickler sind auf Antrag eines Beteiligten durch das Gericht zu ernennen.</w:t>
      </w:r>
    </w:p>
    <w:p>
      <w:r>
        <w:t>(3) Soweit sich aus diesem Unterabschnitt oder aus dem Zweck der Abwicklung nichts anderes ergibt, sind auf die Gesellschaft bis zum Schluß der Abwicklung die Vorschriften weiterhin anzuwenden, die für nicht aufgelöste Gesellschaften gelten.</w:t>
      </w:r>
    </w:p>
    <w:p>
      <w:pPr>
        <w:pStyle w:val="Heading5"/>
      </w:pPr>
      <w:bookmarkStart w:id="341" w:name="b340"/>
      <w:r>
        <w:t>§ 265 Abwickler</w:t>
      </w:r>
      <w:r>
        <w:t xml:space="preserve"> </w:t>
      </w:r>
      <w:r>
        <w:rPr>
          <w:rStyle w:val="Suchmarke"/>
        </w:rPr>
        <w:t>#265#</w:t>
      </w:r>
      <w:bookmarkEnd w:id="341"/>
    </w:p>
    <w:p>
      <w:r>
        <w:t>(1) Die Abwicklung besorgen die Vorstandsmitglieder als Abwickler.</w:t>
      </w:r>
    </w:p>
    <w:p>
      <w:r>
        <w:t xml:space="preserve">(2) </w:t>
      </w:r>
      <w:r>
        <w:rPr>
          <w:rStyle w:val="Satznummer"/>
        </w:rPr>
        <w:t>1</w:t>
      </w:r>
      <w:r>
        <w:t xml:space="preserve">Die Satzung oder ein Beschluß der Hauptversammlung kann andere Personen als Abwickler bestellen. </w:t>
      </w:r>
      <w:r>
        <w:rPr>
          <w:rStyle w:val="Satznummer"/>
        </w:rPr>
        <w:t>2</w:t>
      </w:r>
      <w:r>
        <w:t xml:space="preserve">Für die Auswahl der Abwickler gilt </w:t>
      </w:r>
      <w:hyperlink w:anchor="b96" w:history="1">
        <w:r>
          <w:rPr>
            <w:color w:val="0A3A8C"/>
            <w:u w:val="single"/>
          </w:rPr>
          <w:t xml:space="preserve">§ 76</w:t>
        </w:r>
      </w:hyperlink>
      <w:r>
        <w:t xml:space="preserve"> Abs. 3 Satz 2 bis 4 sinngemäß. </w:t>
      </w:r>
      <w:r>
        <w:rPr>
          <w:rStyle w:val="Satznummer"/>
        </w:rPr>
        <w:t>3</w:t>
      </w:r>
      <w:r>
        <w:t>Auch eine juristische Person kann Abwickler sein.</w:t>
      </w:r>
    </w:p>
    <w:p>
      <w:r>
        <w:t xml:space="preserve">(3) </w:t>
      </w:r>
      <w:r>
        <w:rPr>
          <w:rStyle w:val="Satznummer"/>
        </w:rPr>
        <w:t>1</w:t>
      </w:r>
      <w:r>
        <w:t xml:space="preserve">Auf Antrag des Aufsichtsrats oder einer Minderheit von Aktionären, deren Anteile zusammen den zwanzigsten Teil des Grundkapitals oder den anteiligen Betrag von 500 000 Euro erreichen, hat das Gericht bei Vorliegen eines wichtigen Grundes die Abwickler zu bestellen und abzuberufen. </w:t>
      </w:r>
      <w:r>
        <w:rPr>
          <w:rStyle w:val="Satznummer"/>
        </w:rPr>
        <w:t>2</w:t>
      </w:r>
      <w:r>
        <w:t xml:space="preserve">Die Aktionäre haben glaubhaft zu machen, daß sie seit mindestens drei Monaten Inhaber der Aktien sind. </w:t>
      </w:r>
      <w:r>
        <w:rPr>
          <w:rStyle w:val="Satznummer"/>
        </w:rPr>
        <w:t>3</w:t>
      </w:r>
      <w:r>
        <w:t xml:space="preserve">Zur Glaubhaftmachung genügt eine eidesstattliche Versicherung vor einem Gericht oder Notar. </w:t>
      </w:r>
      <w:r>
        <w:rPr>
          <w:rStyle w:val="Satznummer"/>
        </w:rPr>
        <w:t>4</w:t>
      </w:r>
      <w:r>
        <w:t>Gegen die Entscheidung ist die Beschwerde zulässig.</w:t>
      </w:r>
    </w:p>
    <w:p>
      <w:r>
        <w:t xml:space="preserve">(4) </w:t>
      </w:r>
      <w:r>
        <w:rPr>
          <w:rStyle w:val="Satznummer"/>
        </w:rPr>
        <w:t>1</w:t>
      </w:r>
      <w:r>
        <w:t xml:space="preserve">Die gerichtlich bestellten Abwickler haben Anspruch auf Ersatz angemessener barer Auslagen und auf Vergütung für ihre Tätigkeit. </w:t>
      </w:r>
      <w:r>
        <w:rPr>
          <w:rStyle w:val="Satznummer"/>
        </w:rPr>
        <w:t>2</w:t>
      </w:r>
      <w:r>
        <w:t xml:space="preserve">Einigen sich der gerichtlich bestellte Abwickler und die Gesellschaft nicht, so setzt das Gericht die Auslagen und die Vergütung fest. </w:t>
      </w:r>
      <w:r>
        <w:rPr>
          <w:rStyle w:val="Satznummer"/>
        </w:rPr>
        <w:t>3</w:t>
      </w:r>
      <w:r>
        <w:t xml:space="preserve">Gegen die Entscheidung ist die Beschwerde zulässig; die Rechtsbeschwerde ist ausgeschlossen. </w:t>
      </w:r>
      <w:r>
        <w:rPr>
          <w:rStyle w:val="Satznummer"/>
        </w:rPr>
        <w:t>4</w:t>
      </w:r>
      <w:r>
        <w:t>Aus der rechtskräftigen Entscheidung findet die Zwangsvollstreckung nach der Zivilprozeßordnung statt.</w:t>
      </w:r>
    </w:p>
    <w:p>
      <w:r>
        <w:t xml:space="preserve">(5) </w:t>
      </w:r>
      <w:r>
        <w:rPr>
          <w:rStyle w:val="Satznummer"/>
        </w:rPr>
        <w:t>1</w:t>
      </w:r>
      <w:r>
        <w:t xml:space="preserve">Abwickler, die nicht vom Gericht bestellt sind, kann die Hauptversammlung jederzeit abberufen. </w:t>
      </w:r>
      <w:r>
        <w:rPr>
          <w:rStyle w:val="Satznummer"/>
        </w:rPr>
        <w:t>2</w:t>
      </w:r>
      <w:r>
        <w:t>Für die Ansprüche aus dem Anstellungsvertrag gelten die allgemeinen Vorschriften.</w:t>
      </w:r>
    </w:p>
    <w:p>
      <w:r>
        <w:t>(6) Die Absätze 2 bis 5 gelten nicht für den Arbeitsdirektor, soweit sich seine Bestellung und Abberufung nach den Vorschriften des Montan-Mitbestimmungsgesetzes bestimmen.</w:t>
      </w:r>
    </w:p>
    <w:p>
      <w:pPr>
        <w:pStyle w:val="Heading5"/>
      </w:pPr>
      <w:bookmarkStart w:id="342" w:name="b341"/>
      <w:r>
        <w:t>§ 266 Anmeldung der Abwickler</w:t>
      </w:r>
      <w:r>
        <w:t xml:space="preserve"> </w:t>
      </w:r>
      <w:r>
        <w:rPr>
          <w:rStyle w:val="Suchmarke"/>
        </w:rPr>
        <w:t>#266#</w:t>
      </w:r>
      <w:bookmarkEnd w:id="342"/>
    </w:p>
    <w:p>
      <w:r>
        <w:t>(1) Die ersten Abwickler sowie ihre Vertretungsbefugnis hat der Vorstand, jeden Wechsel der Abwickler und jede Änderung ihrer Vertretungsbefugnis haben die Abwickler zur Eintragung in das Handelsregister anzumelden.</w:t>
      </w:r>
    </w:p>
    <w:p>
      <w:r>
        <w:t>(2) Der Anmeldung sind die Urkunden über die Bestellung oder Abberufung sowie über die Vertretungsbefugnis in Urschrift oder öffentlich beglaubigter Abschrift beizufügen.</w:t>
      </w:r>
    </w:p>
    <w:p>
      <w:r>
        <w:t xml:space="preserve">(3) </w:t>
      </w:r>
      <w:r>
        <w:rPr>
          <w:rStyle w:val="Satznummer"/>
        </w:rPr>
        <w:t>1</w:t>
      </w:r>
      <w:r>
        <w:t xml:space="preserve">In der Anmeldung haben die Abwickler zu versichern, daß keine Umstände vorliegen, die ihrer Bestellung nach </w:t>
      </w:r>
      <w:hyperlink w:anchor="b340" w:history="1">
        <w:r>
          <w:rPr>
            <w:color w:val="0A3A8C"/>
            <w:u w:val="single"/>
          </w:rPr>
          <w:t xml:space="preserve">§ 265</w:t>
        </w:r>
      </w:hyperlink>
      <w:r>
        <w:t xml:space="preserve"> Abs. 2 Satz 2 entgegenstehen, und daß sie über ihre unbeschränkte Auskunftspflicht gegenüber dem Gericht belehrt worden sind. </w:t>
      </w:r>
      <w:r>
        <w:rPr>
          <w:rStyle w:val="Satznummer"/>
        </w:rPr>
        <w:t>2</w:t>
      </w:r>
      <w:hyperlink w:anchor="b42" w:history="1">
        <w:r>
          <w:rPr>
            <w:color w:val="0A3A8C"/>
            <w:u w:val="single"/>
          </w:rPr>
          <w:t xml:space="preserve">§ 37</w:t>
        </w:r>
      </w:hyperlink>
      <w:r>
        <w:t xml:space="preserve"> Abs. 2 Satz 2 ist anzuwenden.</w:t>
      </w:r>
    </w:p>
    <w:p>
      <w:r>
        <w:t>(4) Die Bestellung oder Abberufung von Abwicklern durch das Gericht wird von Amts wegen eingetragen.</w:t>
      </w:r>
    </w:p>
    <w:p>
      <w:r>
        <w:t>(5) (weggefallen)</w:t>
      </w:r>
    </w:p>
    <w:p>
      <w:pPr>
        <w:pStyle w:val="Heading5"/>
      </w:pPr>
      <w:bookmarkStart w:id="343" w:name="b342"/>
      <w:r>
        <w:t>§ 267 Aufruf der Gläubiger</w:t>
      </w:r>
      <w:r>
        <w:t xml:space="preserve"> </w:t>
      </w:r>
      <w:r>
        <w:rPr>
          <w:rStyle w:val="Suchmarke"/>
        </w:rPr>
        <w:t>#267#</w:t>
      </w:r>
      <w:bookmarkEnd w:id="343"/>
    </w:p>
    <w:p>
      <w:r>
        <w:rPr>
          <w:rStyle w:val="Satznummer"/>
        </w:rPr>
        <w:t>1</w:t>
      </w:r>
      <w:r>
        <w:t xml:space="preserve">Die Abwickler haben unter Hinweis auf die Auflösung der Gesellschaft die Gläubiger der Gesellschaft aufzufordern, ihre Ansprüche anzumelden. </w:t>
      </w:r>
      <w:r>
        <w:rPr>
          <w:rStyle w:val="Satznummer"/>
        </w:rPr>
        <w:t>2</w:t>
      </w:r>
      <w:r>
        <w:t>Die Aufforderung ist in den Gesellschaftsblättern bekanntzumachen.</w:t>
      </w:r>
    </w:p>
    <w:p>
      <w:pPr>
        <w:pStyle w:val="Heading5"/>
      </w:pPr>
      <w:bookmarkStart w:id="344" w:name="b343"/>
      <w:r>
        <w:t>§ 268 Pflichten der Abwickler</w:t>
      </w:r>
      <w:r>
        <w:t xml:space="preserve"> </w:t>
      </w:r>
      <w:r>
        <w:rPr>
          <w:rStyle w:val="Suchmarke"/>
        </w:rPr>
        <w:t>#268#</w:t>
      </w:r>
      <w:bookmarkEnd w:id="344"/>
    </w:p>
    <w:p>
      <w:r>
        <w:t xml:space="preserve">(1) </w:t>
      </w:r>
      <w:r>
        <w:rPr>
          <w:rStyle w:val="Satznummer"/>
        </w:rPr>
        <w:t>1</w:t>
      </w:r>
      <w:r>
        <w:t xml:space="preserve">Die Abwickler haben die laufenden Geschäfte zu beenden, die Forderungen einzuziehen, das übrige Vermögen in Geld umzusetzen und die Gläubiger zu befriedigen. </w:t>
      </w:r>
      <w:r>
        <w:rPr>
          <w:rStyle w:val="Satznummer"/>
        </w:rPr>
        <w:t>2</w:t>
      </w:r>
      <w:r>
        <w:t>Soweit es die Abwicklung erfordert, dürfen sie auch neue Geschäfte eingehen.</w:t>
      </w:r>
    </w:p>
    <w:p>
      <w:r>
        <w:t xml:space="preserve">(2) </w:t>
      </w:r>
      <w:r>
        <w:rPr>
          <w:rStyle w:val="Satznummer"/>
        </w:rPr>
        <w:t>1</w:t>
      </w:r>
      <w:r>
        <w:t xml:space="preserve">Im übrigen haben die Abwickler innerhalb ihres Geschäftskreises die Rechte und Pflichten des Vorstands. </w:t>
      </w:r>
      <w:r>
        <w:rPr>
          <w:rStyle w:val="Satznummer"/>
        </w:rPr>
        <w:t>2</w:t>
      </w:r>
      <w:r>
        <w:t>Sie unterliegen wie dieser der Überwachung durch den Aufsichtsrat.</w:t>
      </w:r>
    </w:p>
    <w:p>
      <w:r>
        <w:t xml:space="preserve">(3) Das Wettbewerbsverbot des </w:t>
      </w:r>
      <w:hyperlink w:anchor="b109" w:history="1">
        <w:r>
          <w:rPr>
            <w:color w:val="0A3A8C"/>
            <w:u w:val="single"/>
          </w:rPr>
          <w:t xml:space="preserve">§ 88</w:t>
        </w:r>
      </w:hyperlink>
      <w:r>
        <w:t xml:space="preserve"> gilt für sie nicht.</w:t>
      </w:r>
    </w:p>
    <w:p>
      <w:r>
        <w:t xml:space="preserve">(4) </w:t>
      </w:r>
      <w:r>
        <w:rPr>
          <w:rStyle w:val="Satznummer"/>
        </w:rPr>
        <w:t>1</w:t>
      </w:r>
      <w:r>
        <w:t xml:space="preserve">Auf allen Geschäftsbriefen, die an einen bestimmten Empfänger gerichtet werden, müssen die Rechtsform und der Sitz der Gesellschaft, die Tatsache, daß die Gesellschaft sich in Abwicklung befindet, das Registergericht des Sitzes der Gesellschaft und die Nummer, unter der die Gesellschaft in das Handelsregister eingetragen ist, sowie alle Abwickler und der Vorsitzende des Aufsichtsrats mit dem Familiennamen und mindestens einem ausgeschriebenen Vornamen angegeben werden. </w:t>
      </w:r>
      <w:r>
        <w:rPr>
          <w:rStyle w:val="Satznummer"/>
        </w:rPr>
        <w:t>2</w:t>
      </w:r>
      <w:r>
        <w:t xml:space="preserve">Werden Angaben über das Kapital der Gesellschaft gemacht, so müssen in jedem Fall das Grundkapital sowie, wenn auf die Aktien der Ausgabebetrag nicht vollständig eingezahlt ist, der Gesamtbetrag der ausstehenden Einlagen angegeben werden. </w:t>
      </w:r>
      <w:r>
        <w:rPr>
          <w:rStyle w:val="Satznummer"/>
        </w:rPr>
        <w:t>3</w:t>
      </w:r>
      <w:r>
        <w:t xml:space="preserve">Der Angaben nach Satz 1 bedarf es nicht bei Mitteilungen oder Berichten, die im Rahmen einer bestehenden Geschäftsverbindung ergehen und für die üblicherweise Vordrucke verwendet werden, in denen lediglich die im Einzelfall erforderlichen besonderen Angaben eingefügt zu werden brauchen. </w:t>
      </w:r>
      <w:r>
        <w:rPr>
          <w:rStyle w:val="Satznummer"/>
        </w:rPr>
        <w:t>4</w:t>
      </w:r>
      <w:r>
        <w:t>Bestellscheine gelten als Geschäftsbriefe im Sinne des Satzes 1; Satz 3 ist auf sie nicht anzuwenden.</w:t>
      </w:r>
    </w:p>
    <w:p>
      <w:pPr>
        <w:pStyle w:val="Heading5"/>
      </w:pPr>
      <w:bookmarkStart w:id="345" w:name="b344"/>
      <w:r>
        <w:t>§ 269 Vertretung durch die Abwickler</w:t>
      </w:r>
      <w:r>
        <w:t xml:space="preserve"> </w:t>
      </w:r>
      <w:r>
        <w:rPr>
          <w:rStyle w:val="Suchmarke"/>
        </w:rPr>
        <w:t>#269#</w:t>
      </w:r>
      <w:bookmarkEnd w:id="345"/>
    </w:p>
    <w:p>
      <w:r>
        <w:t>(1) Die Abwickler vertreten die Gesellschaft gerichtlich und außergerichtlich.</w:t>
      </w:r>
    </w:p>
    <w:p>
      <w:r>
        <w:t xml:space="preserve">(2) </w:t>
      </w:r>
      <w:r>
        <w:rPr>
          <w:rStyle w:val="Satznummer"/>
        </w:rPr>
        <w:t>1</w:t>
      </w:r>
      <w:r>
        <w:t xml:space="preserve">Sind mehrere Abwickler bestellt, so sind, wenn die Satzung oder die sonst zuständige Stelle nichts anderes bestimmt, sämtliche Abwickler nur gemeinschaftlich zur Vertretung der Gesellschaft befugt. </w:t>
      </w:r>
      <w:r>
        <w:rPr>
          <w:rStyle w:val="Satznummer"/>
        </w:rPr>
        <w:t>2</w:t>
      </w:r>
      <w:r>
        <w:t>Ist eine Willenserklärung gegenüber der Gesellschaft abzugeben, so genügt die Abgabe gegenüber einem Abwickler.</w:t>
      </w:r>
    </w:p>
    <w:p>
      <w:r>
        <w:t xml:space="preserve">(3) </w:t>
      </w:r>
      <w:r>
        <w:rPr>
          <w:rStyle w:val="Satznummer"/>
        </w:rPr>
        <w:t>1</w:t>
      </w:r>
      <w:r>
        <w:t xml:space="preserve">Die Satzung oder die sonst zuständige Stelle kann auch bestimmen, daß einzelne Abwickler allein oder in Gemeinschaft mit einem Prokuristen zur Vertretung der Gesellschaft befugt sind. </w:t>
      </w:r>
      <w:r>
        <w:rPr>
          <w:rStyle w:val="Satznummer"/>
        </w:rPr>
        <w:t>2</w:t>
      </w:r>
      <w:r>
        <w:t xml:space="preserve">Dasselbe kann der Aufsichtsrat bestimmen, wenn die Satzung oder ein Beschluß der Hauptversammlung ihn hierzu ermächtigt hat. </w:t>
      </w:r>
      <w:r>
        <w:rPr>
          <w:rStyle w:val="Satznummer"/>
        </w:rPr>
        <w:t>3</w:t>
      </w:r>
      <w:r>
        <w:t>Absatz 2 Satz 2 gilt in diesen Fällen sinngemäß.</w:t>
      </w:r>
    </w:p>
    <w:p>
      <w:r>
        <w:t xml:space="preserve">(4) </w:t>
      </w:r>
      <w:r>
        <w:rPr>
          <w:rStyle w:val="Satznummer"/>
        </w:rPr>
        <w:t>1</w:t>
      </w:r>
      <w:r>
        <w:t xml:space="preserve">Zur Gesamtvertretung befugte Abwickler können einzelne von ihnen zur Vornahme bestimmter Geschäfte oder bestimmter Arten von Geschäften ermächtigen. </w:t>
      </w:r>
      <w:r>
        <w:rPr>
          <w:rStyle w:val="Satznummer"/>
        </w:rPr>
        <w:t>2</w:t>
      </w:r>
      <w:r>
        <w:t>Dies gilt sinngemäß, wenn ein einzelner Abwickler in Gemeinschaft mit einem Prokuristen zur Vertretung der Gesellschaft befugt ist.</w:t>
      </w:r>
    </w:p>
    <w:p>
      <w:r>
        <w:t>(5) Die Vertretungsbefugnis der Abwickler kann nicht beschränkt werden.</w:t>
      </w:r>
    </w:p>
    <w:p>
      <w:r>
        <w:t>(6) Zeichnen Abwickler für die Gesellschaft, ist der Firma ein auf die Abwicklung hinweisender Zusatz hinzuzufügen.</w:t>
      </w:r>
    </w:p>
    <w:p>
      <w:pPr>
        <w:pStyle w:val="Heading5"/>
      </w:pPr>
      <w:bookmarkStart w:id="346" w:name="b345"/>
      <w:r>
        <w:t>§ 270 Eröffnungsbilanz. Jahresabschluß und Lagebericht</w:t>
      </w:r>
      <w:r>
        <w:t xml:space="preserve"> </w:t>
      </w:r>
      <w:r>
        <w:rPr>
          <w:rStyle w:val="Suchmarke"/>
        </w:rPr>
        <w:t>#270#</w:t>
      </w:r>
      <w:bookmarkEnd w:id="346"/>
    </w:p>
    <w:p>
      <w:r>
        <w:t>(1) Die Abwickler haben für den Beginn der Abwicklung eine Bilanz (Eröffnungsbilanz) und einen die Eröffnungsbilanz erläuternden Bericht sowie für den Schluß eines jeden Jahres einen Jahresabschluß und einen Lagebericht aufzustellen.</w:t>
      </w:r>
    </w:p>
    <w:p>
      <w:r>
        <w:t xml:space="preserve">(2) </w:t>
      </w:r>
      <w:r>
        <w:rPr>
          <w:rStyle w:val="Satznummer"/>
        </w:rPr>
        <w:t>1</w:t>
      </w:r>
      <w:r>
        <w:t xml:space="preserve">Die Hauptversammlung beschließt über die Feststellung der Eröffnungsbilanz und des Jahresabschlusses sowie über die Entlastung der Abwickler und der Mitglieder des Aufsichtsrats. </w:t>
      </w:r>
      <w:r>
        <w:rPr>
          <w:rStyle w:val="Satznummer"/>
        </w:rPr>
        <w:t>2</w:t>
      </w:r>
      <w:r>
        <w:t xml:space="preserve">Auf die Eröffnungsbilanz und den erläuternden Bericht sind die Vorschriften über den Jahresabschluß entsprechend anzuwenden. </w:t>
      </w:r>
      <w:r>
        <w:rPr>
          <w:rStyle w:val="Satznummer"/>
        </w:rPr>
        <w:t>3</w:t>
      </w:r>
      <w:r>
        <w:t>Vermögensgegenstände des Anlagevermögens sind jedoch wie Umlaufvermögen zu bewerten, soweit ihre Veräußerung innerhalb eines übersehbaren Zeitraums beabsichtigt ist oder diese Vermögensgegenstände nicht mehr dem Geschäftsbetrieb dienen; dies gilt auch für den Jahresabschluß.</w:t>
      </w:r>
    </w:p>
    <w:p>
      <w:r>
        <w:t xml:space="preserve">(3) </w:t>
      </w:r>
      <w:r>
        <w:rPr>
          <w:rStyle w:val="Satznummer"/>
        </w:rPr>
        <w:t>1</w:t>
      </w:r>
      <w:r>
        <w:t xml:space="preserve">Das Gericht kann von der Prüfung des Jahresabschlusses und des Lageberichts durch einen Abschlußprüfer befreien, wenn die Verhältnisse der Gesellschaft so überschaubar sind, daß eine Prüfung im Interesse der Gläubiger und Aktionäre nicht geboten erscheint. </w:t>
      </w:r>
      <w:r>
        <w:rPr>
          <w:rStyle w:val="Satznummer"/>
        </w:rPr>
        <w:t>2</w:t>
      </w:r>
      <w:r>
        <w:t>Gegen die Entscheidung ist die Beschwerde zulässig.</w:t>
      </w:r>
    </w:p>
    <w:p>
      <w:pPr>
        <w:pStyle w:val="Heading5"/>
      </w:pPr>
      <w:bookmarkStart w:id="347" w:name="b346"/>
      <w:r>
        <w:t>§ 271 Verteilung des Vermögens</w:t>
      </w:r>
      <w:r>
        <w:t xml:space="preserve"> </w:t>
      </w:r>
      <w:r>
        <w:rPr>
          <w:rStyle w:val="Suchmarke"/>
        </w:rPr>
        <w:t>#271#</w:t>
      </w:r>
      <w:bookmarkEnd w:id="347"/>
    </w:p>
    <w:p>
      <w:r>
        <w:t>(1) Das nach der Berichtigung der Verbindlichkeiten verbleibende Vermögen der Gesellschaft wird unter die Aktionäre verteilt.</w:t>
      </w:r>
    </w:p>
    <w:p>
      <w:r>
        <w:t>(2) Das Vermögen ist nach den Anteilen am Grundkapital zu verteilen, wenn nicht Aktien mit verschiedenen Rechten bei der Verteilung des Gesellschaftsvermögens vorhanden sind.</w:t>
      </w:r>
    </w:p>
    <w:p>
      <w:r>
        <w:t xml:space="preserve">(3) </w:t>
      </w:r>
      <w:r>
        <w:rPr>
          <w:rStyle w:val="Satznummer"/>
        </w:rPr>
        <w:t>1</w:t>
      </w:r>
      <w:r>
        <w:t xml:space="preserve">Sind die Einlagen auf das Grundkapital nicht auf alle Aktien in demselben Verhältnis geleistet, so werden die geleisteten Einlagen erstattet und ein Überschuß nach den Anteilen am Grundkapital verteilt. </w:t>
      </w:r>
      <w:r>
        <w:rPr>
          <w:rStyle w:val="Satznummer"/>
        </w:rPr>
        <w:t>2</w:t>
      </w:r>
      <w:r>
        <w:t>Reicht das Vermögen zur Erstattung der Einlagen nicht aus, so haben die Aktionäre den Verlust nach ihren Anteilen am Grundkapital zu tragen; die noch ausstehenden Einlagen sind, soweit nötig, einzuziehen.</w:t>
      </w:r>
    </w:p>
    <w:p>
      <w:pPr>
        <w:pStyle w:val="Heading5"/>
      </w:pPr>
      <w:bookmarkStart w:id="348" w:name="b347"/>
      <w:r>
        <w:t>§ 272 Gläubigerschutz</w:t>
      </w:r>
      <w:r>
        <w:t xml:space="preserve"> </w:t>
      </w:r>
      <w:r>
        <w:rPr>
          <w:rStyle w:val="Suchmarke"/>
        </w:rPr>
        <w:t>#272#</w:t>
      </w:r>
      <w:bookmarkEnd w:id="348"/>
    </w:p>
    <w:p>
      <w:r>
        <w:t>(1) Das Vermögen darf nur verteilt werden, wenn ein Jahr seit dem Tag verstrichen ist, an dem der Aufruf der Gläubiger bekanntgemacht worden ist.</w:t>
      </w:r>
    </w:p>
    <w:p>
      <w:r>
        <w:t>(2) Meldet sich ein bekannter Gläubiger nicht, so ist der geschuldete Betrag für ihn zu hinterlegen, wenn ein Recht zur Hinterlegung besteht.</w:t>
      </w:r>
    </w:p>
    <w:p>
      <w:r>
        <w:t>(3) Kann eine Verbindlichkeit zur Zeit nicht berichtigt werden oder ist sie streitig, so darf das Vermögen nur verteilt werden, wenn dem Gläubiger Sicherheit geleistet ist.</w:t>
      </w:r>
    </w:p>
    <w:p>
      <w:pPr>
        <w:pStyle w:val="Heading5"/>
      </w:pPr>
      <w:bookmarkStart w:id="349" w:name="b348"/>
      <w:r>
        <w:t>§ 273 Schluß der Abwicklung</w:t>
      </w:r>
      <w:r>
        <w:t xml:space="preserve"> </w:t>
      </w:r>
      <w:r>
        <w:rPr>
          <w:rStyle w:val="Suchmarke"/>
        </w:rPr>
        <w:t>#273#</w:t>
      </w:r>
      <w:bookmarkEnd w:id="349"/>
    </w:p>
    <w:p>
      <w:r>
        <w:t xml:space="preserve">(1) </w:t>
      </w:r>
      <w:r>
        <w:rPr>
          <w:rStyle w:val="Satznummer"/>
        </w:rPr>
        <w:t>1</w:t>
      </w:r>
      <w:r>
        <w:t xml:space="preserve">Ist die Abwicklung beendet und die Schlußrechnung gelegt, so haben die Abwickler den Schluß der Abwicklung zur Eintragung in das Handelsregister anzumelden. </w:t>
      </w:r>
      <w:r>
        <w:rPr>
          <w:rStyle w:val="Satznummer"/>
        </w:rPr>
        <w:t>2</w:t>
      </w:r>
      <w:r>
        <w:t>Die Gesellschaft ist zu löschen.</w:t>
      </w:r>
    </w:p>
    <w:p>
      <w:r>
        <w:t>(2) Die Bücher und Schriften der Gesellschaft sind an einem vom Gericht bestimmten sicheren Ort zur Aufbewahrung auf zehn Jahre zu hinterlegen.</w:t>
      </w:r>
    </w:p>
    <w:p>
      <w:r>
        <w:t>(3) Das Gericht kann den Aktionären und den Gläubigern die Einsicht der Bücher und Schriften gestatten.</w:t>
      </w:r>
    </w:p>
    <w:p>
      <w:r>
        <w:t xml:space="preserve">(4) </w:t>
      </w:r>
      <w:r>
        <w:rPr>
          <w:rStyle w:val="Satznummer"/>
        </w:rPr>
        <w:t>1</w:t>
      </w:r>
      <w:r>
        <w:t xml:space="preserve">Stellt sich nachträglich heraus, daß weitere Abwicklungsmaßnahmen nötig sind, so hat auf Antrag eines Beteiligten das Gericht die bisherigen Abwickler neu zu bestellen oder andere Abwickler zu berufen. </w:t>
      </w:r>
      <w:r>
        <w:rPr>
          <w:rStyle w:val="Satznummer"/>
        </w:rPr>
        <w:t>2</w:t>
      </w:r>
      <w:hyperlink w:anchor="b340" w:history="1">
        <w:r>
          <w:rPr>
            <w:color w:val="0A3A8C"/>
            <w:u w:val="single"/>
          </w:rPr>
          <w:t xml:space="preserve">§ 265</w:t>
        </w:r>
      </w:hyperlink>
      <w:r>
        <w:t xml:space="preserve"> Abs. 4 gilt.</w:t>
      </w:r>
    </w:p>
    <w:p>
      <w:r>
        <w:t>(5) Gegen die Entscheidungen nach den Absätzen 2, 3 und 4 Satz 1 ist die Beschwerde zulässig.</w:t>
      </w:r>
    </w:p>
    <w:p>
      <w:pPr>
        <w:pStyle w:val="Heading5"/>
      </w:pPr>
      <w:bookmarkStart w:id="350" w:name="b349"/>
      <w:r>
        <w:t>§ 274 Fortsetzung einer aufgelösten Gesellschaft</w:t>
      </w:r>
      <w:r>
        <w:t xml:space="preserve"> </w:t>
      </w:r>
      <w:r>
        <w:rPr>
          <w:rStyle w:val="Suchmarke"/>
        </w:rPr>
        <w:t>#274#</w:t>
      </w:r>
      <w:bookmarkEnd w:id="350"/>
    </w:p>
    <w:p>
      <w:r>
        <w:t xml:space="preserve">(1) </w:t>
      </w:r>
      <w:r>
        <w:rPr>
          <w:rStyle w:val="Satznummer"/>
        </w:rPr>
        <w:t>1</w:t>
      </w:r>
      <w:r>
        <w:t xml:space="preserve">Ist eine Aktiengesellschaft durch Zeitablauf oder durch Beschluß der Hauptversammlung aufgelöst worden, so kann die Hauptversammlung, solange noch nicht mit der Verteilung des Vermögens unter die Aktionäre begonnen ist, die Fortsetzung der Gesellschaft beschließen. </w:t>
      </w:r>
      <w:r>
        <w:rPr>
          <w:rStyle w:val="Satznummer"/>
        </w:rPr>
        <w:t>2</w:t>
      </w:r>
      <w:r>
        <w:t xml:space="preserve">Der Beschluß bedarf einer Mehrheit, die mindestens drei Viertel des bei der Beschlußfassung vertretenen Grundkapitals umfaßt. </w:t>
      </w:r>
      <w:r>
        <w:rPr>
          <w:rStyle w:val="Satznummer"/>
        </w:rPr>
        <w:t>3</w:t>
      </w:r>
      <w:r>
        <w:t>Die Satzung kann eine größere Kapitalmehrheit und weitere Erfordernisse bestimmen.</w:t>
      </w:r>
    </w:p>
    <w:p>
      <w:r>
        <w:t>(2) Gleiches gilt, wenn die Gesellschaft</w:t>
      </w:r>
    </w:p>
    <w:p>
      <w:pPr>
        <w:tabs>
          <w:tab w:pos="567" w:val="left"/>
        </w:tabs>
        <w:ind w:left="567" w:hanging="567"/>
      </w:pPr>
      <w:r>
        <w:t>1.</w:t>
      </w:r>
      <w:r>
        <w:tab/>
      </w:r>
      <w:r>
        <w:t>durch die Eröffnung des Insolvenzverfahrens aufgelöst, das Verfahren aber auf Antrag des Schuldners eingestellt oder nach der Bestätigung eines Insolvenzplans, der den Fortbestand der Gesellschaft vorsieht, aufgehoben worden ist;</w:t>
      </w:r>
    </w:p>
    <w:p>
      <w:pPr>
        <w:tabs>
          <w:tab w:pos="567" w:val="left"/>
        </w:tabs>
        <w:ind w:left="567" w:hanging="567"/>
      </w:pPr>
      <w:r>
        <w:t>2.</w:t>
      </w:r>
      <w:r>
        <w:tab/>
      </w:r>
      <w:r>
        <w:t xml:space="preserve">durch die gerichtliche Feststellung eines Mangels der Satzung nach </w:t>
      </w:r>
      <w:hyperlink w:anchor="b336" w:history="1">
        <w:r>
          <w:rPr>
            <w:color w:val="0A3A8C"/>
            <w:u w:val="single"/>
          </w:rPr>
          <w:t xml:space="preserve">§ 262</w:t>
        </w:r>
      </w:hyperlink>
      <w:r>
        <w:t xml:space="preserve"> Abs. 1 Nr. 5 aufgelöst worden ist, eine den Mangel behebende Satzungsänderung aber spätestens zugleich mit der Fortsetzung der Gesellschaft beschlossen wird.</w:t>
      </w:r>
    </w:p>
    <w:p>
      <w:r>
        <w:t xml:space="preserve">(3) </w:t>
      </w:r>
      <w:r>
        <w:rPr>
          <w:rStyle w:val="Satznummer"/>
        </w:rPr>
        <w:t>1</w:t>
      </w:r>
      <w:r>
        <w:t xml:space="preserve">Die Abwickler haben die Fortsetzung der Gesellschaft zur Eintragung in das Handelsregister anzumelden. </w:t>
      </w:r>
      <w:r>
        <w:rPr>
          <w:rStyle w:val="Satznummer"/>
        </w:rPr>
        <w:t>2</w:t>
      </w:r>
      <w:r>
        <w:t>Sie haben bei der Anmeldung nachzuweisen, daß noch nicht mit der Verteilung des Vermögens der Gesellschaft unter die Aktionäre begonnen worden ist.</w:t>
      </w:r>
    </w:p>
    <w:p>
      <w:r>
        <w:t xml:space="preserve">(4) </w:t>
      </w:r>
      <w:r>
        <w:rPr>
          <w:rStyle w:val="Satznummer"/>
        </w:rPr>
        <w:t>1</w:t>
      </w:r>
      <w:r>
        <w:t xml:space="preserve">Der Fortsetzungsbeschluß wird erst wirksam, wenn er in das Handelsregister des Sitzes der Gesellschaft eingetragen worden ist. </w:t>
      </w:r>
      <w:r>
        <w:rPr>
          <w:rStyle w:val="Satznummer"/>
        </w:rPr>
        <w:t>2</w:t>
      </w:r>
      <w:r>
        <w:t>Im Falle des Absatzes 2 Nr. 2 hat der Fortsetzungsbeschluß keine Wirkung, solange er und der Beschluß über die Satzungsänderung nicht in das Handelsregister des Sitzes der Gesellschaft eingetragen worden sind; die beiden Beschlüsse sollen nur zusammen in das Handelsregister eingetragen werden.</w:t>
      </w:r>
    </w:p>
    <w:p>
      <w:pPr>
        <w:pStyle w:val="Heading3"/>
      </w:pPr>
      <w:bookmarkStart w:id="351" w:name="b350"/>
      <w:r>
        <w:t>Zweiter Abschnitt Nichtigerklärung der Gesellschaft</w:t>
      </w:r>
      <w:bookmarkEnd w:id="351"/>
    </w:p>
    <w:p>
      <w:pPr>
        <w:pStyle w:val="Heading4"/>
      </w:pPr>
      <w:bookmarkStart w:id="352" w:name="b351"/>
      <w:r>
        <w:t>§ 275 Klage auf Nichtigerklärung</w:t>
      </w:r>
      <w:r>
        <w:t xml:space="preserve"> </w:t>
      </w:r>
      <w:r>
        <w:rPr>
          <w:rStyle w:val="Suchmarke"/>
        </w:rPr>
        <w:t>#275#</w:t>
      </w:r>
      <w:bookmarkEnd w:id="352"/>
    </w:p>
    <w:p>
      <w:r>
        <w:t xml:space="preserve">(1) </w:t>
      </w:r>
      <w:r>
        <w:rPr>
          <w:rStyle w:val="Satznummer"/>
        </w:rPr>
        <w:t>1</w:t>
      </w:r>
      <w:r>
        <w:t xml:space="preserve">Enthält die Satzung keine Bestimmungen über die Höhe des Grundkapitals oder über den Gegenstand des Unternehmens oder sind die Bestimmungen der Satzung über den Gegenstand des Unternehmens nichtig, so kann jeder Aktionär und jedes Mitglied des Vorstands und des Aufsichtsrats darauf klagen, daß die Gesellschaft für nichtig erklärt werde. </w:t>
      </w:r>
      <w:r>
        <w:rPr>
          <w:rStyle w:val="Satznummer"/>
        </w:rPr>
        <w:t>2</w:t>
      </w:r>
      <w:r>
        <w:t>Auf andere Gründe kann die Klage nicht gestützt werden.</w:t>
      </w:r>
    </w:p>
    <w:p>
      <w:r>
        <w:t xml:space="preserve">(2) Kann der Mangel nach </w:t>
      </w:r>
      <w:hyperlink w:anchor="b352" w:history="1">
        <w:r>
          <w:rPr>
            <w:color w:val="0A3A8C"/>
            <w:u w:val="single"/>
          </w:rPr>
          <w:t xml:space="preserve">§ 276</w:t>
        </w:r>
      </w:hyperlink>
      <w:r>
        <w:t xml:space="preserve"> geheilt werden, so kann die Klage erst erhoben werden, nachdem ein Klageberechtigter die Gesellschaft aufgefordert hat, den Mangel zu beseitigen, und sie binnen drei Monaten dieser Aufforderung nicht nachgekommen ist.</w:t>
      </w:r>
    </w:p>
    <w:p>
      <w:r>
        <w:t xml:space="preserve">(3) </w:t>
      </w:r>
      <w:r>
        <w:rPr>
          <w:rStyle w:val="Satznummer"/>
        </w:rPr>
        <w:t>1</w:t>
      </w:r>
      <w:r>
        <w:t xml:space="preserve">Die Klage muß binnen drei Jahren nach Eintragung der Gesellschaft erhoben werden. </w:t>
      </w:r>
      <w:r>
        <w:rPr>
          <w:rStyle w:val="Satznummer"/>
        </w:rPr>
        <w:t>2</w:t>
      </w:r>
      <w:r>
        <w:t>Eine Löschung der Gesellschaft von Amts wegen nach § 397 Abs. 1 des Gesetzes über das Verfahren in Familiensachen und in den Angelegenheiten der freiwilligen Gerichtsbarkeit wird durch den Zeitablauf nicht ausgeschlossen.</w:t>
      </w:r>
    </w:p>
    <w:p>
      <w:r>
        <w:t xml:space="preserve">(4) </w:t>
      </w:r>
      <w:r>
        <w:rPr>
          <w:rStyle w:val="Satznummer"/>
        </w:rPr>
        <w:t>1</w:t>
      </w:r>
      <w:r>
        <w:t xml:space="preserve">Für die Anfechtung gelten </w:t>
      </w:r>
      <w:hyperlink w:anchor="b309" w:history="1">
        <w:r>
          <w:rPr>
            <w:color w:val="0A3A8C"/>
            <w:u w:val="single"/>
          </w:rPr>
          <w:t xml:space="preserve">§ 246</w:t>
        </w:r>
      </w:hyperlink>
      <w:r>
        <w:t xml:space="preserve"> Abs. 2 bis 4, </w:t>
      </w:r>
      <w:hyperlink w:anchor="b311" w:history="1">
        <w:r>
          <w:rPr>
            <w:color w:val="0A3A8C"/>
            <w:u w:val="single"/>
          </w:rPr>
          <w:t xml:space="preserve">§§ 247</w:t>
        </w:r>
      </w:hyperlink>
      <w:r>
        <w:t xml:space="preserve">, </w:t>
      </w:r>
      <w:hyperlink w:anchor="b312" w:history="1">
        <w:r>
          <w:rPr>
            <w:color w:val="0A3A8C"/>
            <w:u w:val="single"/>
          </w:rPr>
          <w:t xml:space="preserve">248</w:t>
        </w:r>
      </w:hyperlink>
      <w:r>
        <w:t xml:space="preserve"> Abs. 1 Satz 1, </w:t>
      </w:r>
      <w:hyperlink w:anchor="b313" w:history="1">
        <w:r>
          <w:rPr>
            <w:color w:val="0A3A8C"/>
            <w:u w:val="single"/>
          </w:rPr>
          <w:t xml:space="preserve">§§ 248a</w:t>
        </w:r>
      </w:hyperlink>
      <w:r>
        <w:t xml:space="preserve">, </w:t>
      </w:r>
      <w:hyperlink w:anchor="b314" w:history="1">
        <w:r>
          <w:rPr>
            <w:color w:val="0A3A8C"/>
            <w:u w:val="single"/>
          </w:rPr>
          <w:t xml:space="preserve">249</w:t>
        </w:r>
      </w:hyperlink>
      <w:r>
        <w:t xml:space="preserve"> Abs. 2 sinngemäß. </w:t>
      </w:r>
      <w:r>
        <w:rPr>
          <w:rStyle w:val="Satznummer"/>
        </w:rPr>
        <w:t>2</w:t>
      </w:r>
      <w:r>
        <w:t xml:space="preserve">Der Vorstand hat eine beglaubigte Abschrift der Klage und das rechtskräftige Urteil zum Handelsregister einzureichen. </w:t>
      </w:r>
      <w:r>
        <w:rPr>
          <w:rStyle w:val="Satznummer"/>
        </w:rPr>
        <w:t>3</w:t>
      </w:r>
      <w:r>
        <w:t>Die Nichtigkeit der Gesellschaft auf Grund rechtskräftigen Urteils ist einzutragen.</w:t>
      </w:r>
    </w:p>
    <w:p>
      <w:pPr>
        <w:pStyle w:val="Heading4"/>
      </w:pPr>
      <w:bookmarkStart w:id="353" w:name="b352"/>
      <w:r>
        <w:t>§ 276 Heilung von Mängeln</w:t>
      </w:r>
      <w:r>
        <w:t xml:space="preserve"> </w:t>
      </w:r>
      <w:r>
        <w:rPr>
          <w:rStyle w:val="Suchmarke"/>
        </w:rPr>
        <w:t>#276#</w:t>
      </w:r>
      <w:bookmarkEnd w:id="353"/>
    </w:p>
    <w:p>
      <w:r>
        <w:t>Ein Mangel, der die Bestimmungen über den Gegenstand des Unternehmens betrifft, kann unter Beachtung der Bestimmungen des Gesetzes und der Satzung über Satzungsänderungen geheilt werden.</w:t>
      </w:r>
    </w:p>
    <w:p>
      <w:pPr>
        <w:pStyle w:val="Heading4"/>
      </w:pPr>
      <w:bookmarkStart w:id="354" w:name="b353"/>
      <w:r>
        <w:t>§ 277 Wirkung der Eintragung der Nichtigkeit</w:t>
      </w:r>
      <w:r>
        <w:t xml:space="preserve"> </w:t>
      </w:r>
      <w:r>
        <w:rPr>
          <w:rStyle w:val="Suchmarke"/>
        </w:rPr>
        <w:t>#277#</w:t>
      </w:r>
      <w:bookmarkEnd w:id="354"/>
    </w:p>
    <w:p>
      <w:r>
        <w:t>(1) Ist die Nichtigkeit einer Gesellschaft auf Grund rechtskräftigen Urteils oder einer Entscheidung des Registergerichts in das Handelsregister eingetragen, so findet die Abwicklung nach den Vorschriften über die Abwicklung bei Auflösung statt.</w:t>
      </w:r>
    </w:p>
    <w:p>
      <w:r>
        <w:t>(2) Die Wirksamkeit der im Namen der Gesellschaft vorgenommenen Rechtsgeschäfte wird durch die Nichtigkeit nicht berührt.</w:t>
      </w:r>
    </w:p>
    <w:p>
      <w:r>
        <w:t>(3) Die Gesellschafter haben die Einlagen zu leisten, soweit es zur Erfüllung der eingegangenen Verbindlichkeiten nötig ist.</w:t>
      </w:r>
    </w:p>
    <w:p>
      <w:pPr>
        <w:pStyle w:val="Heading1"/>
      </w:pPr>
      <w:bookmarkStart w:id="355" w:name="b354"/>
      <w:r>
        <w:t>Zweites Buch Kommanditgesellschaft auf Aktien</w:t>
      </w:r>
      <w:bookmarkEnd w:id="355"/>
    </w:p>
    <w:p>
      <w:pPr>
        <w:pStyle w:val="Heading2"/>
      </w:pPr>
      <w:bookmarkStart w:id="356" w:name="b355"/>
      <w:r>
        <w:t>§ 278 Wesen der Kommanditgesellschaft auf Aktien</w:t>
      </w:r>
      <w:r>
        <w:t xml:space="preserve"> </w:t>
      </w:r>
      <w:r>
        <w:rPr>
          <w:rStyle w:val="Suchmarke"/>
        </w:rPr>
        <w:t>#278#</w:t>
      </w:r>
      <w:bookmarkEnd w:id="356"/>
    </w:p>
    <w:p>
      <w:r>
        <w:t>(1) Die Kommanditgesellschaft auf Aktien ist eine Gesellschaft mit eigener Rechtspersönlichkeit, bei der mindestens ein Gesellschafter den Gesellschaftsgläubigern unbeschränkt haftet (persönlich haftender Gesellschafter) und die übrigen an dem in Aktien zerlegten Grundkapital beteiligt sind, ohne persönlich für die Verbindlichkeiten der Gesellschaft zu haften (Kommanditaktionäre).</w:t>
      </w:r>
    </w:p>
    <w:p>
      <w:r>
        <w:t>(2) Das Rechtsverhältnis der persönlich haftenden Gesellschafter untereinander und gegenüber der Gesamtheit der Kommanditaktionäre sowie gegenüber Dritten, namentlich die Befugnis der persönlich haftenden Gesellschafter zur Geschäftsführung und zur Vertretung der Gesellschaft, bestimmt sich nach den Vorschriften des Handelsgesetzbuchs über die Kommanditgesellschaft.</w:t>
      </w:r>
    </w:p>
    <w:p>
      <w:r>
        <w:t>(3) Im übrigen gelten für die Kommanditgesellschaft auf Aktien, soweit sich aus den folgenden Vorschriften oder aus dem Fehlen eines Vorstands nichts anderes ergibt, die Vorschriften des Ersten Buchs über die Aktiengesellschaft sinngemäß.</w:t>
      </w:r>
    </w:p>
    <w:p>
      <w:pPr>
        <w:pStyle w:val="Heading2"/>
      </w:pPr>
      <w:bookmarkStart w:id="357" w:name="b356"/>
      <w:r>
        <w:t>§ 279 Firma</w:t>
      </w:r>
      <w:r>
        <w:t xml:space="preserve"> </w:t>
      </w:r>
      <w:r>
        <w:rPr>
          <w:rStyle w:val="Suchmarke"/>
        </w:rPr>
        <w:t>#279#</w:t>
      </w:r>
      <w:bookmarkEnd w:id="357"/>
    </w:p>
    <w:p>
      <w:r>
        <w:t>(1) Die Firma der Kommanditgesellschaft auf Aktien muß, auch wenn sie nach § 22 des Handelsgesetzbuchs oder nach anderen gesetzlichen Vorschriften fortgeführt wird, die Bezeichnung "Kommanditgesellschaft auf Aktien" oder eine allgemein verständliche Abkürzung dieser Bezeichnung enthalten.</w:t>
      </w:r>
    </w:p>
    <w:p>
      <w:r>
        <w:t>(2) Wenn in der Gesellschaft keine natürliche Person persönlich haftet, muß die Firma, auch wenn sie nach § 22 des Handelsgesetzbuchs oder nach anderen gesetzlichen Vorschriften fortgeführt wird, eine Bezeichnung enthalten, welche die Haftungsbeschränkung kennzeichnet.</w:t>
      </w:r>
    </w:p>
    <w:p>
      <w:pPr>
        <w:pStyle w:val="Heading2"/>
      </w:pPr>
      <w:bookmarkStart w:id="358" w:name="b357"/>
      <w:r>
        <w:t>§ 280 Feststellung der Satzung. Gründer</w:t>
      </w:r>
      <w:r>
        <w:t xml:space="preserve"> </w:t>
      </w:r>
      <w:r>
        <w:rPr>
          <w:rStyle w:val="Suchmarke"/>
        </w:rPr>
        <w:t>#280#</w:t>
      </w:r>
      <w:bookmarkEnd w:id="358"/>
    </w:p>
    <w:p>
      <w:r>
        <w:t xml:space="preserve">(1) </w:t>
      </w:r>
      <w:r>
        <w:rPr>
          <w:rStyle w:val="Satznummer"/>
        </w:rPr>
        <w:t>1</w:t>
      </w:r>
      <w:r>
        <w:t xml:space="preserve">Die Satzung muß durch notarielle Beurkundung festgestellt werden. </w:t>
      </w:r>
      <w:r>
        <w:rPr>
          <w:rStyle w:val="Satznummer"/>
        </w:rPr>
        <w:t>2</w:t>
      </w:r>
      <w:r>
        <w:t xml:space="preserve">In der Urkunde sind bei Nennbetragsaktien der Nennbetrag, bei Stückaktien die Zahl, der Ausgabebetrag und, wenn mehrere Gattungen bestehen, die Gattung der Aktien anzugeben, die jeder Beteiligte übernimmt. </w:t>
      </w:r>
      <w:r>
        <w:rPr>
          <w:rStyle w:val="Satznummer"/>
        </w:rPr>
        <w:t>3</w:t>
      </w:r>
      <w:r>
        <w:t>Bevollmächtigte bedürfen einer notariell beglaubigten Vollmacht.</w:t>
      </w:r>
    </w:p>
    <w:p>
      <w:r>
        <w:t xml:space="preserve">(2) </w:t>
      </w:r>
      <w:r>
        <w:rPr>
          <w:rStyle w:val="Satznummer"/>
        </w:rPr>
        <w:t>1</w:t>
      </w:r>
      <w:r>
        <w:t xml:space="preserve">Alle persönlich haftenden Gesellschafter müssen sich bei der Feststellung der Satzung beteiligen. </w:t>
      </w:r>
      <w:r>
        <w:rPr>
          <w:rStyle w:val="Satznummer"/>
        </w:rPr>
        <w:t>2</w:t>
      </w:r>
      <w:r>
        <w:t>Außer ihnen müssen die Personen mitwirken, die als Kommanditaktionäre Aktien gegen Einlagen übernehmen.</w:t>
      </w:r>
    </w:p>
    <w:p>
      <w:r>
        <w:t>(3) Die Gesellschafter, die die Satzung festgestellt haben, sind die Gründer der Gesellschaft.</w:t>
      </w:r>
    </w:p>
    <w:p>
      <w:pPr>
        <w:pStyle w:val="Heading2"/>
      </w:pPr>
      <w:bookmarkStart w:id="359" w:name="b358"/>
      <w:r>
        <w:t>§ 281 Inhalt der Satzung</w:t>
      </w:r>
      <w:r>
        <w:t xml:space="preserve"> </w:t>
      </w:r>
      <w:r>
        <w:rPr>
          <w:rStyle w:val="Suchmarke"/>
        </w:rPr>
        <w:t>#281#</w:t>
      </w:r>
      <w:bookmarkEnd w:id="359"/>
    </w:p>
    <w:p>
      <w:r>
        <w:t>(1) Die Satzung muß außer den Festsetzungen nach § 23 Abs. 3 und 4 den Namen, Vornamen und Wohnort jedes persönlich haftenden Gesellschafters enthalten.</w:t>
      </w:r>
    </w:p>
    <w:p>
      <w:r>
        <w:t>(2) Vermögenseinlagen der persönlich haftenden Gesellschafter müssen, wenn sie nicht auf das Grundkapital geleistet werden, nach Höhe und Art in der Satzung festgesetzt werden.</w:t>
      </w:r>
    </w:p>
    <w:p>
      <w:r>
        <w:t>(3) (weggefallen)</w:t>
      </w:r>
    </w:p>
    <w:p>
      <w:pPr>
        <w:pStyle w:val="Heading2"/>
      </w:pPr>
      <w:bookmarkStart w:id="360" w:name="b359"/>
      <w:r>
        <w:t>§ 282 Eintragung der persönlich haftenden Gesellschafter</w:t>
      </w:r>
      <w:r>
        <w:t xml:space="preserve"> </w:t>
      </w:r>
      <w:r>
        <w:rPr>
          <w:rStyle w:val="Suchmarke"/>
        </w:rPr>
        <w:t>#282#</w:t>
      </w:r>
      <w:bookmarkEnd w:id="360"/>
    </w:p>
    <w:p>
      <w:r>
        <w:rPr>
          <w:rStyle w:val="Satznummer"/>
        </w:rPr>
        <w:t>1</w:t>
      </w:r>
      <w:r>
        <w:t xml:space="preserve">Bei der Eintragung der Gesellschaft in das Handelsregister sind statt der Vorstandsmitglieder die persönlich haftenden Gesellschafter anzugeben. </w:t>
      </w:r>
      <w:r>
        <w:rPr>
          <w:rStyle w:val="Satznummer"/>
        </w:rPr>
        <w:t>2</w:t>
      </w:r>
      <w:r>
        <w:t>Ferner ist einzutragen, welche Vertretungsbefugnis die persönlich haftenden Gesellschafter haben.</w:t>
      </w:r>
    </w:p>
    <w:p>
      <w:pPr>
        <w:pStyle w:val="Heading2"/>
      </w:pPr>
      <w:bookmarkStart w:id="361" w:name="b360"/>
      <w:r>
        <w:t>§ 283 Persönlich haftende Gesellschafter</w:t>
      </w:r>
      <w:r>
        <w:t xml:space="preserve"> </w:t>
      </w:r>
      <w:r>
        <w:rPr>
          <w:rStyle w:val="Suchmarke"/>
        </w:rPr>
        <w:t>#283#</w:t>
      </w:r>
      <w:bookmarkEnd w:id="361"/>
    </w:p>
    <w:p>
      <w:r>
        <w:t>Für die persönlich haftenden Gesellschafter gelten sinngemäß die für den Vorstand der Aktiengesellschaft geltenden Vorschriften über</w:t>
      </w:r>
    </w:p>
    <w:p>
      <w:pPr>
        <w:tabs>
          <w:tab w:pos="567" w:val="left"/>
        </w:tabs>
        <w:ind w:left="567" w:hanging="567"/>
      </w:pPr>
      <w:r>
        <w:t>1.</w:t>
      </w:r>
      <w:r>
        <w:tab/>
      </w:r>
      <w:r>
        <w:t>die Anmeldungen, Einreichungen, Erklärungen und Nachweise zum Handelsregister sowie über Bekanntmachungen;</w:t>
      </w:r>
    </w:p>
    <w:p>
      <w:pPr>
        <w:tabs>
          <w:tab w:pos="567" w:val="left"/>
        </w:tabs>
        <w:ind w:left="567" w:hanging="567"/>
      </w:pPr>
      <w:r>
        <w:t>2.</w:t>
      </w:r>
      <w:r>
        <w:tab/>
      </w:r>
      <w:r>
        <w:t>die Gründungsprüfung;</w:t>
      </w:r>
    </w:p>
    <w:p>
      <w:pPr>
        <w:tabs>
          <w:tab w:pos="567" w:val="left"/>
        </w:tabs>
        <w:ind w:left="567" w:hanging="567"/>
      </w:pPr>
      <w:r>
        <w:t>3.</w:t>
      </w:r>
      <w:r>
        <w:tab/>
      </w:r>
      <w:r>
        <w:t>die Sorgfaltspflicht und Verantwortlichkeit;</w:t>
      </w:r>
    </w:p>
    <w:p>
      <w:pPr>
        <w:tabs>
          <w:tab w:pos="567" w:val="left"/>
        </w:tabs>
        <w:ind w:left="567" w:hanging="567"/>
      </w:pPr>
      <w:r>
        <w:t>4.</w:t>
      </w:r>
      <w:r>
        <w:tab/>
      </w:r>
      <w:r>
        <w:t>die Pflichten gegenüber dem Aufsichtsrat;</w:t>
      </w:r>
    </w:p>
    <w:p>
      <w:pPr>
        <w:tabs>
          <w:tab w:pos="567" w:val="left"/>
        </w:tabs>
        <w:ind w:left="567" w:hanging="567"/>
      </w:pPr>
      <w:r>
        <w:t>5.</w:t>
      </w:r>
      <w:r>
        <w:tab/>
      </w:r>
      <w:r>
        <w:t>die Zulässigkeit einer Kreditgewährung;</w:t>
      </w:r>
    </w:p>
    <w:p>
      <w:pPr>
        <w:tabs>
          <w:tab w:pos="567" w:val="left"/>
        </w:tabs>
        <w:ind w:left="567" w:hanging="567"/>
      </w:pPr>
      <w:r>
        <w:t>6.</w:t>
      </w:r>
      <w:r>
        <w:tab/>
      </w:r>
      <w:r>
        <w:t>die Einberufung der Hauptversammlung;</w:t>
      </w:r>
    </w:p>
    <w:p>
      <w:pPr>
        <w:tabs>
          <w:tab w:pos="567" w:val="left"/>
        </w:tabs>
        <w:ind w:left="567" w:hanging="567"/>
      </w:pPr>
      <w:r>
        <w:t>7.</w:t>
      </w:r>
      <w:r>
        <w:tab/>
      </w:r>
      <w:r>
        <w:t>die Sonderprüfung;</w:t>
      </w:r>
    </w:p>
    <w:p>
      <w:pPr>
        <w:tabs>
          <w:tab w:pos="567" w:val="left"/>
        </w:tabs>
        <w:ind w:left="567" w:hanging="567"/>
      </w:pPr>
      <w:r>
        <w:t>8.</w:t>
      </w:r>
      <w:r>
        <w:tab/>
      </w:r>
      <w:r>
        <w:t>die Geltendmachung von Ersatzansprüchen wegen der Geschäftsführung;</w:t>
      </w:r>
    </w:p>
    <w:p>
      <w:pPr>
        <w:tabs>
          <w:tab w:pos="567" w:val="left"/>
        </w:tabs>
        <w:ind w:left="567" w:hanging="567"/>
      </w:pPr>
      <w:r>
        <w:t>9.</w:t>
      </w:r>
      <w:r>
        <w:tab/>
      </w:r>
      <w:r>
        <w:t>die Aufstellung, Vorlegung und Prüfung des Jahresabschlusses und des Vorschlags für die Verwendung des Bilanzgewinns;</w:t>
      </w:r>
    </w:p>
    <w:p>
      <w:pPr>
        <w:tabs>
          <w:tab w:pos="567" w:val="left"/>
        </w:tabs>
        <w:ind w:left="567" w:hanging="567"/>
      </w:pPr>
      <w:r>
        <w:t>10.</w:t>
      </w:r>
      <w:r>
        <w:tab/>
      </w:r>
      <w:r>
        <w:t>die Vorlage und Prüfung des Lageberichts, eines gesonderten nichtfinanziellen Berichts sowie eines Konzernabschlusses, eines Konzernlageberichts und eines gesonderten nichtfinanziellen Konzernberichts;</w:t>
      </w:r>
    </w:p>
    <w:p>
      <w:pPr>
        <w:tabs>
          <w:tab w:pos="567" w:val="left"/>
        </w:tabs>
        <w:ind w:left="567" w:hanging="567"/>
      </w:pPr>
      <w:r>
        <w:t>11.</w:t>
      </w:r>
      <w:r>
        <w:tab/>
      </w:r>
      <w:r>
        <w:t>die Vorlegung, Prüfung und Offenlegung eines Einzelabschlusses nach § 325 Abs. 2a des Handelsgesetzbuchs;</w:t>
      </w:r>
    </w:p>
    <w:p>
      <w:pPr>
        <w:tabs>
          <w:tab w:pos="567" w:val="left"/>
        </w:tabs>
        <w:ind w:left="567" w:hanging="567"/>
      </w:pPr>
      <w:r>
        <w:t>11a.</w:t>
      </w:r>
      <w:r>
        <w:tab/>
      </w:r>
      <w:r>
        <w:t>die Vorlage eines Ertragsteuerinformationsberichts (§§ 342b, 342c, 342d Absatz 2 Nummer 2 des Handelsgesetzbuchs) und einer Erklärung nach § 342d Absatz 2 Nummer 1 des Handelsgesetzbuchs;</w:t>
      </w:r>
    </w:p>
    <w:p>
      <w:pPr>
        <w:tabs>
          <w:tab w:pos="567" w:val="left"/>
        </w:tabs>
        <w:ind w:left="567" w:hanging="567"/>
      </w:pPr>
      <w:r>
        <w:t>12.</w:t>
      </w:r>
      <w:r>
        <w:tab/>
      </w:r>
      <w:r>
        <w:t>die Ausgabe von Aktien bei bedingter Kapitalerhöhung, bei genehmigtem Kapital und bei Kapitalerhöhung aus Gesellschaftsmitteln;</w:t>
      </w:r>
    </w:p>
    <w:p>
      <w:pPr>
        <w:tabs>
          <w:tab w:pos="567" w:val="left"/>
        </w:tabs>
        <w:ind w:left="567" w:hanging="567"/>
      </w:pPr>
      <w:r>
        <w:t>13.</w:t>
      </w:r>
      <w:r>
        <w:tab/>
      </w:r>
      <w:r>
        <w:t>die Nichtigkeit und Anfechtung von Hauptversammlungsbeschlüssen;</w:t>
      </w:r>
    </w:p>
    <w:p>
      <w:pPr>
        <w:tabs>
          <w:tab w:pos="567" w:val="left"/>
        </w:tabs>
        <w:ind w:left="567" w:hanging="567"/>
      </w:pPr>
      <w:r>
        <w:t>14.</w:t>
      </w:r>
      <w:r>
        <w:tab/>
      </w:r>
      <w:r>
        <w:t>den Antrag auf Eröffnung des Insolvenzverfahrens.</w:t>
      </w:r>
    </w:p>
    <w:p>
      <w:pPr>
        <w:pStyle w:val="Heading2"/>
      </w:pPr>
      <w:bookmarkStart w:id="362" w:name="b361"/>
      <w:r>
        <w:t>§ 284 Wettbewerbsverbot</w:t>
      </w:r>
      <w:r>
        <w:t xml:space="preserve"> </w:t>
      </w:r>
      <w:r>
        <w:rPr>
          <w:rStyle w:val="Suchmarke"/>
        </w:rPr>
        <w:t>#284#</w:t>
      </w:r>
      <w:bookmarkEnd w:id="362"/>
    </w:p>
    <w:p>
      <w:r>
        <w:t xml:space="preserve">(1) </w:t>
      </w:r>
      <w:r>
        <w:rPr>
          <w:rStyle w:val="Satznummer"/>
        </w:rPr>
        <w:t>1</w:t>
      </w:r>
      <w:r>
        <w:t xml:space="preserve">Ein persönlich haftender Gesellschafter darf ohne ausdrückliche Einwilligung der übrigen persönlich haftenden Gesellschafter und des Aufsichtsrats weder im Geschäftszweig der Gesellschaft für eigene oder fremde Rechnung Geschäfte machen noch Mitglied des Vorstands oder Geschäftsführer oder persönlich haftender Gesellschafter einer anderen gleichartigen Handelsgesellschaft sein. </w:t>
      </w:r>
      <w:r>
        <w:rPr>
          <w:rStyle w:val="Satznummer"/>
        </w:rPr>
        <w:t>2</w:t>
      </w:r>
      <w:r>
        <w:t>Die Einwilligung kann nur für bestimmte Arten von Geschäften oder für bestimmte Handelsgesellschaften erteilt werden.</w:t>
      </w:r>
    </w:p>
    <w:p>
      <w:r>
        <w:t xml:space="preserve">(2) </w:t>
      </w:r>
      <w:r>
        <w:rPr>
          <w:rStyle w:val="Satznummer"/>
        </w:rPr>
        <w:t>1</w:t>
      </w:r>
      <w:r>
        <w:t xml:space="preserve">Verstößt ein persönlich haftender Gesellschafter gegen dieses Verbot, so kann die Gesellschaft Schadenersatz fordern. </w:t>
      </w:r>
      <w:r>
        <w:rPr>
          <w:rStyle w:val="Satznummer"/>
        </w:rPr>
        <w:t>2</w:t>
      </w:r>
      <w:r>
        <w:t>Sie kann statt dessen von dem Gesellschafter verlangen, daß er die für eigene Rechnung gemachten Geschäfte als für Rechnung der Gesellschaft eingegangen gelten läßt und die aus Geschäften für fremde Rechnung bezogene Vergütung herausgibt oder seinen Anspruch auf die Vergütung abtritt.</w:t>
      </w:r>
    </w:p>
    <w:p>
      <w:r>
        <w:t xml:space="preserve">(3) </w:t>
      </w:r>
      <w:r>
        <w:rPr>
          <w:rStyle w:val="Satznummer"/>
        </w:rPr>
        <w:t>1</w:t>
      </w:r>
      <w:r>
        <w:t xml:space="preserve">Die Ansprüche der Gesellschaft verjähren in drei Monaten seit dem Zeitpunkt, in dem die übrigen persönlich haftenden Gesellschafter und die Aufsichtsratsmitglieder von der zum Schadensersatz verpflichtenden Handlung Kenntnis erlangen oder ohne grobe Fahrlässigkeit erlangen müssten. </w:t>
      </w:r>
      <w:r>
        <w:rPr>
          <w:rStyle w:val="Satznummer"/>
        </w:rPr>
        <w:t>2</w:t>
      </w:r>
      <w:r>
        <w:t>Sie verjähren ohne Rücksicht auf diese Kenntnis oder grob fahrlässige Unkenntnis in fünf Jahren von ihrer Entstehung an.</w:t>
      </w:r>
    </w:p>
    <w:p>
      <w:pPr>
        <w:pStyle w:val="Heading2"/>
      </w:pPr>
      <w:bookmarkStart w:id="363" w:name="b362"/>
      <w:r>
        <w:t>§ 285 Hauptversammlung</w:t>
      </w:r>
      <w:r>
        <w:t xml:space="preserve"> </w:t>
      </w:r>
      <w:r>
        <w:rPr>
          <w:rStyle w:val="Suchmarke"/>
        </w:rPr>
        <w:t>#285#</w:t>
      </w:r>
      <w:bookmarkEnd w:id="363"/>
    </w:p>
    <w:p>
      <w:r>
        <w:t xml:space="preserve">(1) </w:t>
      </w:r>
      <w:r>
        <w:rPr>
          <w:rStyle w:val="Satznummer"/>
        </w:rPr>
        <w:t>1</w:t>
      </w:r>
      <w:r>
        <w:t xml:space="preserve">In der Hauptversammlung haben die persönlich haftenden Gesellschafter nur ein Stimmrecht für ihre Aktien. </w:t>
      </w:r>
      <w:r>
        <w:rPr>
          <w:rStyle w:val="Satznummer"/>
        </w:rPr>
        <w:t>2</w:t>
      </w:r>
      <w:r>
        <w:t>Sie können das Stimmrecht weder für sich noch für einen anderen ausüben bei Beschlußfassungen über</w:t>
      </w:r>
    </w:p>
    <w:p>
      <w:pPr>
        <w:tabs>
          <w:tab w:pos="567" w:val="left"/>
        </w:tabs>
        <w:ind w:left="567" w:hanging="567"/>
      </w:pPr>
      <w:r>
        <w:t>1.</w:t>
      </w:r>
      <w:r>
        <w:tab/>
      </w:r>
      <w:r>
        <w:t>die Wahl und Abberufung des Aufsichtsrats;</w:t>
      </w:r>
    </w:p>
    <w:p>
      <w:pPr>
        <w:tabs>
          <w:tab w:pos="567" w:val="left"/>
        </w:tabs>
        <w:ind w:left="567" w:hanging="567"/>
      </w:pPr>
      <w:r>
        <w:t>2.</w:t>
      </w:r>
      <w:r>
        <w:tab/>
      </w:r>
      <w:r>
        <w:t>die Entlastung der persönlich haftenden Gesellschafter und der Mitglieder des Aufsichtsrats;</w:t>
      </w:r>
    </w:p>
    <w:p>
      <w:pPr>
        <w:tabs>
          <w:tab w:pos="567" w:val="left"/>
        </w:tabs>
        <w:ind w:left="567" w:hanging="567"/>
      </w:pPr>
      <w:r>
        <w:t>3.</w:t>
      </w:r>
      <w:r>
        <w:tab/>
      </w:r>
      <w:r>
        <w:t>die Bestellung von Sonderprüfern;</w:t>
      </w:r>
    </w:p>
    <w:p>
      <w:pPr>
        <w:tabs>
          <w:tab w:pos="567" w:val="left"/>
        </w:tabs>
        <w:ind w:left="567" w:hanging="567"/>
      </w:pPr>
      <w:r>
        <w:t>4.</w:t>
      </w:r>
      <w:r>
        <w:tab/>
      </w:r>
      <w:r>
        <w:t>die Geltendmachung von Ersatzansprüchen;</w:t>
      </w:r>
    </w:p>
    <w:p>
      <w:pPr>
        <w:tabs>
          <w:tab w:pos="567" w:val="left"/>
        </w:tabs>
        <w:ind w:left="567" w:hanging="567"/>
      </w:pPr>
      <w:r>
        <w:t>5.</w:t>
      </w:r>
      <w:r>
        <w:tab/>
      </w:r>
      <w:r>
        <w:t>den Verzicht auf Ersatzansprüche;</w:t>
      </w:r>
    </w:p>
    <w:p>
      <w:pPr>
        <w:tabs>
          <w:tab w:pos="567" w:val="left"/>
        </w:tabs>
        <w:ind w:left="567" w:hanging="567"/>
      </w:pPr>
      <w:r>
        <w:t>6.</w:t>
      </w:r>
      <w:r>
        <w:tab/>
      </w:r>
      <w:r>
        <w:t>die Wahl von Abschlußprüfern.</w:t>
      </w:r>
    </w:p>
    <w:p>
      <w:r>
        <w:rPr>
          <w:rStyle w:val="Satznummer"/>
        </w:rPr>
        <w:t>3</w:t>
      </w:r>
      <w:r>
        <w:t>Bei diesen Beschlußfassungen kann ihr Stimmrecht auch nicht durch einen anderen ausgeübt werden.</w:t>
      </w:r>
    </w:p>
    <w:p>
      <w:r>
        <w:t xml:space="preserve">(2) </w:t>
      </w:r>
      <w:r>
        <w:rPr>
          <w:rStyle w:val="Satznummer"/>
        </w:rPr>
        <w:t>1</w:t>
      </w:r>
      <w:r>
        <w:t xml:space="preserve">Die Beschlüsse der Hauptversammlung bedürfen der Zustimmung der persönlich haftenden Gesellschafter, soweit sie Angelegenheiten betreffen, für die bei einer Kommanditgesellschaft das Einverständnis der persönlich haftenden Gesellschafter und der Kommanditisten erforderlich ist. </w:t>
      </w:r>
      <w:r>
        <w:rPr>
          <w:rStyle w:val="Satznummer"/>
        </w:rPr>
        <w:t>2</w:t>
      </w:r>
      <w:r>
        <w:t>Die Ausübung der Befugnisse, die der Hauptversammlung oder einer Minderheit von Kommanditaktionären bei der Bestellung von Prüfern und der Geltendmachung von Ansprüchen der Gesellschaft aus der Gründung oder der Geschäftsführung zustehen, bedarf nicht der Zustimmung der persönlich haftenden Gesellschafter.</w:t>
      </w:r>
    </w:p>
    <w:p>
      <w:r>
        <w:t xml:space="preserve">(3) </w:t>
      </w:r>
      <w:r>
        <w:rPr>
          <w:rStyle w:val="Satznummer"/>
        </w:rPr>
        <w:t>1</w:t>
      </w:r>
      <w:r>
        <w:t xml:space="preserve">Beschlüsse der Hauptversammlung, die der Zustimmung der persönlich haftenden Gesellschafter bedürfen, sind zum Handelsregister erst einzureichen, wenn die Zustimmung vorliegt. </w:t>
      </w:r>
      <w:r>
        <w:rPr>
          <w:rStyle w:val="Satznummer"/>
        </w:rPr>
        <w:t>2</w:t>
      </w:r>
      <w:r>
        <w:t>Bei Beschlüssen, die in das Handelsregister einzutragen sind, ist die Zustimmung in der Verhandlungsniederschrift oder in einem Anhang zur Niederschrift zu beurkunden.</w:t>
      </w:r>
    </w:p>
    <w:p>
      <w:pPr>
        <w:pStyle w:val="Heading2"/>
      </w:pPr>
      <w:bookmarkStart w:id="364" w:name="b363"/>
      <w:r>
        <w:t>§ 286 Jahresabschluß. Lagebericht</w:t>
      </w:r>
      <w:r>
        <w:t xml:space="preserve"> </w:t>
      </w:r>
      <w:r>
        <w:rPr>
          <w:rStyle w:val="Suchmarke"/>
        </w:rPr>
        <w:t>#286#</w:t>
      </w:r>
      <w:bookmarkEnd w:id="364"/>
    </w:p>
    <w:p>
      <w:r>
        <w:t xml:space="preserve">(1) </w:t>
      </w:r>
      <w:r>
        <w:rPr>
          <w:rStyle w:val="Satznummer"/>
        </w:rPr>
        <w:t>1</w:t>
      </w:r>
      <w:r>
        <w:t xml:space="preserve">Die Hauptversammlung beschließt über die Feststellung des Jahresabschlusses. </w:t>
      </w:r>
      <w:r>
        <w:rPr>
          <w:rStyle w:val="Satznummer"/>
        </w:rPr>
        <w:t>2</w:t>
      </w:r>
      <w:r>
        <w:t>Der Beschluß bedarf der Zustimmung der persönlich haftenden Gesellschafter.</w:t>
      </w:r>
    </w:p>
    <w:p>
      <w:r>
        <w:t xml:space="preserve">(2) </w:t>
      </w:r>
      <w:r>
        <w:rPr>
          <w:rStyle w:val="Satznummer"/>
        </w:rPr>
        <w:t>1</w:t>
      </w:r>
      <w:r>
        <w:t xml:space="preserve">In der Jahresbilanz sind die Kapitalanteile der persönlich haftenden Gesellschafter nach dem Posten "Gezeichnetes Kapital" gesondert auszuweisen. </w:t>
      </w:r>
      <w:r>
        <w:rPr>
          <w:rStyle w:val="Satznummer"/>
        </w:rPr>
        <w:t>2</w:t>
      </w:r>
      <w:r>
        <w:t xml:space="preserve">Der auf den Kapitalanteil eines persönlich haftenden Gesellschafters für das Geschäftsjahr entfallende Verlust ist von dem Kapitalanteil abzuschreiben. </w:t>
      </w:r>
      <w:r>
        <w:rPr>
          <w:rStyle w:val="Satznummer"/>
        </w:rPr>
        <w:t>3</w:t>
      </w:r>
      <w:r>
        <w:t xml:space="preserve">Soweit der Verlust den Kapitalanteil übersteigt, ist er auf der Aktivseite unter der Bezeichnung "Einzahlungsverpflichtungen persönlich haftender Gesellschafter" unter den Forderungen gesondert auszuweisen, soweit eine Zahlungsverpflichtung besteht; besteht keine Zahlungsverpflichtung, so ist der Betrag als "Nicht durch Vermögenseinlagen gedeckter Verlustanteil persönlich haftender Gesellschafter" zu bezeichnen und gemäß § 268 Abs. 3 des Handelsgesetzbuchs auszuweisen. </w:t>
      </w:r>
      <w:r>
        <w:rPr>
          <w:rStyle w:val="Satznummer"/>
        </w:rPr>
        <w:t>4</w:t>
      </w:r>
      <w:r>
        <w:t xml:space="preserve">Unter </w:t>
      </w:r>
      <w:hyperlink w:anchor="b110" w:history="1">
        <w:r>
          <w:rPr>
            <w:color w:val="0A3A8C"/>
            <w:u w:val="single"/>
          </w:rPr>
          <w:t xml:space="preserve">§ 89</w:t>
        </w:r>
      </w:hyperlink>
      <w:r>
        <w:t xml:space="preserve"> fallende Kredite, die die Gesellschaft persönlich haftenden Gesellschaftern, deren Ehegatten, Lebenspartnern oder minderjährigen Kindern oder Dritten, die für Rechnung dieser Personen handeln, gewährt hat, sind auf der Aktivseite bei den entsprechenden Posten unter der Bezeichnung "davon an persönlich haftende Gesellschafter und deren Angehörige" zu vermerken.</w:t>
      </w:r>
    </w:p>
    <w:p>
      <w:r>
        <w:t>(3) In der Gewinn- und Verlustrechnung braucht der auf die Kapitalanteile der persönlich haftenden Gesellschafter entfallende Gewinn oder Verlust nicht gesondert ausgewiesen zu werden.</w:t>
      </w:r>
    </w:p>
    <w:p>
      <w:r>
        <w:t>(4) § 285 Nr. 9 Buchstabe a und b des Handelsgesetzbuchs gilt für die persönlich haftenden Gesellschafter mit der Maßgabe, daß der auf den Kapitalanteil eines persönlich haftenden Gesellschafters entfallende Gewinn nicht angegeben zu werden braucht.</w:t>
      </w:r>
    </w:p>
    <w:p>
      <w:pPr>
        <w:pStyle w:val="Heading2"/>
      </w:pPr>
      <w:bookmarkStart w:id="365" w:name="b364"/>
      <w:r>
        <w:t>§ 287 Aufsichtsrat</w:t>
      </w:r>
      <w:r>
        <w:t xml:space="preserve"> </w:t>
      </w:r>
      <w:r>
        <w:rPr>
          <w:rStyle w:val="Suchmarke"/>
        </w:rPr>
        <w:t>#287#</w:t>
      </w:r>
      <w:bookmarkEnd w:id="365"/>
    </w:p>
    <w:p>
      <w:r>
        <w:t>(1) Die Beschlüsse der Kommanditaktionäre führt der Aufsichtsrat aus, wenn die Satzung nichts anderes bestimmt.</w:t>
      </w:r>
    </w:p>
    <w:p>
      <w:r>
        <w:t xml:space="preserve">(2) </w:t>
      </w:r>
      <w:r>
        <w:rPr>
          <w:rStyle w:val="Satznummer"/>
        </w:rPr>
        <w:t>1</w:t>
      </w:r>
      <w:r>
        <w:t xml:space="preserve">In Rechtsstreitigkeiten, die die Gesamtheit der Kommanditaktionäre gegen die persönlich haftenden Gesellschafter oder diese gegen die Gesamtheit der Kommanditaktionäre führen, vertritt der Aufsichtsrat die Kommanditaktionäre, wenn die Hauptversammlung keine besonderen Vertreter gewählt hat. </w:t>
      </w:r>
      <w:r>
        <w:rPr>
          <w:rStyle w:val="Satznummer"/>
        </w:rPr>
        <w:t>2</w:t>
      </w:r>
      <w:r>
        <w:t>Für die Kosten des Rechtsstreits, die den Kommanditaktionären zur Last fallen, haftet die Gesellschaft unbeschadet ihres Rückgriffs gegen die Kommanditaktionäre.</w:t>
      </w:r>
    </w:p>
    <w:p>
      <w:r>
        <w:t>(3) Persönlich haftende Gesellschafter können nicht Aufsichtsratsmitglieder sein.</w:t>
      </w:r>
    </w:p>
    <w:p>
      <w:pPr>
        <w:pStyle w:val="Heading2"/>
      </w:pPr>
      <w:bookmarkStart w:id="366" w:name="b365"/>
      <w:r>
        <w:t>§ 288 Entnahmen der persönlich haftenden Gesellschafter. Kreditgewährung</w:t>
      </w:r>
      <w:r>
        <w:t xml:space="preserve"> </w:t>
      </w:r>
      <w:r>
        <w:rPr>
          <w:rStyle w:val="Suchmarke"/>
        </w:rPr>
        <w:t>#288#</w:t>
      </w:r>
      <w:bookmarkEnd w:id="366"/>
    </w:p>
    <w:p>
      <w:r>
        <w:t xml:space="preserve">(1) </w:t>
      </w:r>
      <w:r>
        <w:rPr>
          <w:rStyle w:val="Satznummer"/>
        </w:rPr>
        <w:t>1</w:t>
      </w:r>
      <w:r>
        <w:t xml:space="preserve">Entfällt auf einen persönlich haftenden Gesellschafter ein Verlust, der seinen Kapitalanteil übersteigt, so darf er keinen Gewinn auf seinen Kapitalanteil entnehmen. </w:t>
      </w:r>
      <w:r>
        <w:rPr>
          <w:rStyle w:val="Satznummer"/>
        </w:rPr>
        <w:t>2</w:t>
      </w:r>
      <w:r>
        <w:t>Er darf ferner keinen solchen Gewinnanteil und kein Geld auf seinen Kapitalanteil entnehmen, solange die Summe aus Bilanzverlust, Einzahlungsverpflichtungen, Verlustanteilen persönlich haftender Gesellschafter und Forderungen aus Krediten an persönlich haftende Gesellschafter und deren Angehörige die Summe aus Gewinnvortrag, Kapital- und Gewinnrücklagen sowie Kapitalanteilen der persönlich haftenden Gesellschafter übersteigt.</w:t>
      </w:r>
    </w:p>
    <w:p>
      <w:r>
        <w:t xml:space="preserve">(2) </w:t>
      </w:r>
      <w:r>
        <w:rPr>
          <w:rStyle w:val="Satznummer"/>
        </w:rPr>
        <w:t>1</w:t>
      </w:r>
      <w:r>
        <w:t xml:space="preserve">Solange die Voraussetzung von Absatz 1 Satz 2 vorliegt, darf die Gesellschaft keinen unter </w:t>
      </w:r>
      <w:hyperlink w:anchor="b363" w:history="1">
        <w:r>
          <w:rPr>
            <w:color w:val="0A3A8C"/>
            <w:u w:val="single"/>
          </w:rPr>
          <w:t xml:space="preserve">§ 286</w:t>
        </w:r>
      </w:hyperlink>
      <w:r>
        <w:t xml:space="preserve"> Abs. 2 Satz 4 fallenden Kredit gewähren. </w:t>
      </w:r>
      <w:r>
        <w:rPr>
          <w:rStyle w:val="Satznummer"/>
        </w:rPr>
        <w:t>2</w:t>
      </w:r>
      <w:r>
        <w:t>Ein trotzdem gewährter Kredit ist ohne Rücksicht auf entgegenstehende Vereinbarungen sofort zurückzugewähren.</w:t>
      </w:r>
    </w:p>
    <w:p>
      <w:r>
        <w:t xml:space="preserve">(3) </w:t>
      </w:r>
      <w:r>
        <w:rPr>
          <w:rStyle w:val="Satznummer"/>
        </w:rPr>
        <w:t>1</w:t>
      </w:r>
      <w:r>
        <w:t xml:space="preserve">Ansprüche persönlich haftender Gesellschafter auf nicht vom Gewinn abhängige Tätigkeitsvergütungen werden durch diese Vorschriften nicht berührt. </w:t>
      </w:r>
      <w:r>
        <w:rPr>
          <w:rStyle w:val="Satznummer"/>
        </w:rPr>
        <w:t>2</w:t>
      </w:r>
      <w:r>
        <w:t xml:space="preserve">Für eine Herabsetzung solcher Vergütungen gilt </w:t>
      </w:r>
      <w:hyperlink w:anchor="b107" w:history="1">
        <w:r>
          <w:rPr>
            <w:color w:val="0A3A8C"/>
            <w:u w:val="single"/>
          </w:rPr>
          <w:t xml:space="preserve">§ 87</w:t>
        </w:r>
      </w:hyperlink>
      <w:r>
        <w:t xml:space="preserve"> Abs. 2 Satz 1 und 2 sinngemäß.</w:t>
      </w:r>
    </w:p>
    <w:p>
      <w:pPr>
        <w:pStyle w:val="Heading2"/>
      </w:pPr>
      <w:bookmarkStart w:id="367" w:name="b366"/>
      <w:r>
        <w:t>§ 289 Auflösung</w:t>
      </w:r>
      <w:r>
        <w:t xml:space="preserve"> </w:t>
      </w:r>
      <w:r>
        <w:rPr>
          <w:rStyle w:val="Suchmarke"/>
        </w:rPr>
        <w:t>#289#</w:t>
      </w:r>
      <w:bookmarkEnd w:id="367"/>
    </w:p>
    <w:p>
      <w:r>
        <w:t>(1) Die Gründe für die Auflösung der Kommanditgesellschaft auf Aktien und das Ausscheiden eines von mehreren persönlich haftenden Gesellschaftern aus der Gesellschaft richten sich, soweit in den Absätzen 2 bis 6 nichts anderes bestimmt ist, nach den Vorschriften des Handelsgesetzbuchs über die Kommanditgesellschaft.</w:t>
      </w:r>
    </w:p>
    <w:p>
      <w:r>
        <w:t>(2) Die Kommanditgesellschaft auf Aktien wird auch aufgelöst</w:t>
      </w:r>
    </w:p>
    <w:p>
      <w:pPr>
        <w:tabs>
          <w:tab w:pos="567" w:val="left"/>
        </w:tabs>
        <w:ind w:left="567" w:hanging="567"/>
      </w:pPr>
      <w:r>
        <w:t>1.</w:t>
      </w:r>
      <w:r>
        <w:tab/>
      </w:r>
      <w:r>
        <w:t>mit der Rechtskraft des Beschlusses, durch den die Eröffnung des Insolvenzverfahrens mangels Masse abgelehnt wird;</w:t>
      </w:r>
    </w:p>
    <w:p>
      <w:pPr>
        <w:tabs>
          <w:tab w:pos="567" w:val="left"/>
        </w:tabs>
        <w:ind w:left="567" w:hanging="567"/>
      </w:pPr>
      <w:r>
        <w:t>2.</w:t>
      </w:r>
      <w:r>
        <w:tab/>
      </w:r>
      <w:r>
        <w:t>mit der Rechtskraft einer Verfügung des Registergerichts, durch welche nach § 399 des Gesetzes über das Verfahren in Familiensachen und in den Angelegenheiten der freiwilligen Gerichtsbarkeit ein Mangel der Satzung festgestellt worden ist;</w:t>
      </w:r>
    </w:p>
    <w:p>
      <w:pPr>
        <w:tabs>
          <w:tab w:pos="567" w:val="left"/>
        </w:tabs>
        <w:ind w:left="567" w:hanging="567"/>
      </w:pPr>
      <w:r>
        <w:t>3.</w:t>
      </w:r>
      <w:r>
        <w:tab/>
      </w:r>
      <w:r>
        <w:t>durch die Löschung der Gesellschaft wegen Vermögenslosigkeit nach § 394 des Gesetzes über das Verfahren in Familiensachen und in den Angelegenheiten der freiwilligen Gerichtsbarkeit.</w:t>
      </w:r>
    </w:p>
    <w:p>
      <w:r>
        <w:t xml:space="preserve">(3) </w:t>
      </w:r>
      <w:r>
        <w:rPr>
          <w:rStyle w:val="Satznummer"/>
        </w:rPr>
        <w:t>1</w:t>
      </w:r>
      <w:r>
        <w:t xml:space="preserve">Durch die Eröffnung des Insolvenzverfahrens über das Vermögen eines Kommanditaktionärs wird die Gesellschaft nicht aufgelöst. </w:t>
      </w:r>
      <w:r>
        <w:rPr>
          <w:rStyle w:val="Satznummer"/>
        </w:rPr>
        <w:t>2</w:t>
      </w:r>
      <w:r>
        <w:t>Die Gläubiger eines Kommanditaktionärs sind nicht berechtigt, die Gesellschaft zu kündigen.</w:t>
      </w:r>
    </w:p>
    <w:p>
      <w:r>
        <w:t xml:space="preserve">(4) </w:t>
      </w:r>
      <w:r>
        <w:rPr>
          <w:rStyle w:val="Satznummer"/>
        </w:rPr>
        <w:t>1</w:t>
      </w:r>
      <w:r>
        <w:t xml:space="preserve">Für die Kündigung der Gesellschaft durch die Kommanditaktionäre und für ihre Zustimmung zur Auflösung der Gesellschaft ist ein Beschluß der Hauptversammlung nötig. </w:t>
      </w:r>
      <w:r>
        <w:rPr>
          <w:rStyle w:val="Satznummer"/>
        </w:rPr>
        <w:t>2</w:t>
      </w:r>
      <w:r>
        <w:t xml:space="preserve">Gleiches gilt für den Antrag auf Auflösung der Gesellschaft durch gerichtliche Entscheidung. </w:t>
      </w:r>
      <w:r>
        <w:rPr>
          <w:rStyle w:val="Satznummer"/>
        </w:rPr>
        <w:t>3</w:t>
      </w:r>
      <w:r>
        <w:t xml:space="preserve">Der Beschluß bedarf einer Mehrheit, die mindestens drei Viertel des bei der Beschlußfassung vertretenen Grundkapitals umfaßt. </w:t>
      </w:r>
      <w:r>
        <w:rPr>
          <w:rStyle w:val="Satznummer"/>
        </w:rPr>
        <w:t>4</w:t>
      </w:r>
      <w:r>
        <w:t>Die Satzung kann eine größere Kapitalmehrheit und weitere Erfordernisse bestimmen.</w:t>
      </w:r>
    </w:p>
    <w:p>
      <w:r>
        <w:t>(5) Persönlich haftende Gesellschafter können außer durch Ausschließung nur ausscheiden, wenn es die Satzung für zulässig erklärt.</w:t>
      </w:r>
    </w:p>
    <w:p>
      <w:r>
        <w:t xml:space="preserve">(6) </w:t>
      </w:r>
      <w:r>
        <w:rPr>
          <w:rStyle w:val="Satznummer"/>
        </w:rPr>
        <w:t>1</w:t>
      </w:r>
      <w:r>
        <w:t xml:space="preserve">Die Auflösung der Gesellschaft und das Ausscheiden eines persönlich haftenden Gesellschafters ist von allen persönlich haftenden Gesellschaftern zur Eintragung in das Handelsregister anzumelden. </w:t>
      </w:r>
      <w:r>
        <w:rPr>
          <w:rStyle w:val="Satznummer"/>
        </w:rPr>
        <w:t>2</w:t>
      </w:r>
      <w:r>
        <w:t xml:space="preserve">§ 141 Absatz 2 des Handelsgesetzbuchs gilt sinngemäß. </w:t>
      </w:r>
      <w:r>
        <w:rPr>
          <w:rStyle w:val="Satznummer"/>
        </w:rPr>
        <w:t>3</w:t>
      </w:r>
      <w:r>
        <w:t xml:space="preserve">In den Fällen des Absatzes 2 hat das Gericht die Auflösung und ihren Grund von Amts wegen einzutragen. </w:t>
      </w:r>
      <w:r>
        <w:rPr>
          <w:rStyle w:val="Satznummer"/>
        </w:rPr>
        <w:t>4</w:t>
      </w:r>
      <w:r>
        <w:t>Im Falle des Absatzes 2 Nr. 3 entfällt die Eintragung der Auflösung.</w:t>
      </w:r>
    </w:p>
    <w:p>
      <w:pPr>
        <w:pStyle w:val="Heading2"/>
      </w:pPr>
      <w:bookmarkStart w:id="368" w:name="b367"/>
      <w:r>
        <w:t>§ 290 Abwicklung</w:t>
      </w:r>
      <w:r>
        <w:t xml:space="preserve"> </w:t>
      </w:r>
      <w:r>
        <w:rPr>
          <w:rStyle w:val="Suchmarke"/>
        </w:rPr>
        <w:t>#290#</w:t>
      </w:r>
      <w:bookmarkEnd w:id="368"/>
    </w:p>
    <w:p>
      <w:r>
        <w:t>(1) Die Abwicklung besorgen alle persönlich haftenden Gesellschafter und eine oder mehrere von der Hauptversammlung gewählte Personen als Abwickler, wenn die Satzung nichts anderes bestimmt.</w:t>
      </w:r>
    </w:p>
    <w:p>
      <w:r>
        <w:t>(2) Die Bestellung oder Abberufung von Abwicklern durch das Gericht kann auch jeder persönlich haftende Gesellschafter beantragen.</w:t>
      </w:r>
    </w:p>
    <w:p>
      <w:r>
        <w:t xml:space="preserve">(3) </w:t>
      </w:r>
      <w:r>
        <w:rPr>
          <w:rStyle w:val="Satznummer"/>
        </w:rPr>
        <w:t>1</w:t>
      </w:r>
      <w:r>
        <w:t xml:space="preserve">Ist die Gesellschaft durch Löschung wegen Vermögenslosigkeit aufgelöst, so findet eine Abwicklung nur statt, wenn sich nach der Löschung herausstellt, daß Vermögen vorhanden ist, das der Verteilung unterliegt. </w:t>
      </w:r>
      <w:r>
        <w:rPr>
          <w:rStyle w:val="Satznummer"/>
        </w:rPr>
        <w:t>2</w:t>
      </w:r>
      <w:r>
        <w:t>Die Abwickler sind auf Antrag eines Beteiligten durch das Gericht zu ernennen.</w:t>
      </w:r>
    </w:p>
    <w:p>
      <w:pPr>
        <w:pStyle w:val="Heading1"/>
      </w:pPr>
      <w:bookmarkStart w:id="369" w:name="b368"/>
      <w:r>
        <w:t>Drittes Buch Verbundene Unternehmen</w:t>
      </w:r>
      <w:bookmarkEnd w:id="369"/>
    </w:p>
    <w:p>
      <w:pPr>
        <w:pStyle w:val="Heading2"/>
      </w:pPr>
      <w:bookmarkStart w:id="370" w:name="b369"/>
      <w:r>
        <w:t>Erster Teil Unternehmensverträge</w:t>
      </w:r>
      <w:bookmarkEnd w:id="370"/>
    </w:p>
    <w:p>
      <w:pPr>
        <w:pStyle w:val="Heading3"/>
      </w:pPr>
      <w:bookmarkStart w:id="371" w:name="b370"/>
      <w:r>
        <w:t>Erster Abschnitt Arten von Unternehmensverträgen</w:t>
      </w:r>
      <w:bookmarkEnd w:id="371"/>
    </w:p>
    <w:p>
      <w:pPr>
        <w:pStyle w:val="Heading4"/>
      </w:pPr>
      <w:bookmarkStart w:id="372" w:name="b371"/>
      <w:r>
        <w:t>§ 291 Beherrschungsvertrag. Gewinnabführungsvertrag</w:t>
      </w:r>
      <w:r>
        <w:t xml:space="preserve"> </w:t>
      </w:r>
      <w:r>
        <w:rPr>
          <w:rStyle w:val="Suchmarke"/>
        </w:rPr>
        <w:t>#291#</w:t>
      </w:r>
      <w:bookmarkEnd w:id="372"/>
    </w:p>
    <w:p>
      <w:r>
        <w:t xml:space="preserve">(1) </w:t>
      </w:r>
      <w:r>
        <w:rPr>
          <w:rStyle w:val="Satznummer"/>
        </w:rPr>
        <w:t>1</w:t>
      </w:r>
      <w:r>
        <w:t xml:space="preserve">Unternehmensverträge sind Verträge, durch die eine Aktiengesellschaft oder Kommanditgesellschaft auf Aktien die Leitung ihrer Gesellschaft einem anderen Unternehmen unterstellt (Beherrschungsvertrag) oder sich verpflichtet, ihren ganzen Gewinn an ein anderes Unternehmen abzuführen (Gewinnabführungsvertrag). </w:t>
      </w:r>
      <w:r>
        <w:rPr>
          <w:rStyle w:val="Satznummer"/>
        </w:rPr>
        <w:t>2</w:t>
      </w:r>
      <w:r>
        <w:t>Als Vertrag über die Abführung des ganzen Gewinns gilt auch ein Vertrag, durch den eine Aktiengesellschaft oder Kommanditgesellschaft auf Aktien es übernimmt, ihr Unternehmen für Rechnung eines anderen Unternehmens zu führen.</w:t>
      </w:r>
    </w:p>
    <w:p>
      <w:r>
        <w:t>(2) Stellen sich Unternehmen, die voneinander nicht abhängig sind, durch Vertrag unter einheitliche Leitung, ohne daß dadurch eines von ihnen von einem anderen vertragschließenden Unternehmen abhängig wird, so ist dieser Vertrag kein Beherrschungsvertrag.</w:t>
      </w:r>
    </w:p>
    <w:p>
      <w:r>
        <w:t xml:space="preserve">(3) Leistungen der Gesellschaft bei Bestehen eines Beherrschungs- oder eines Gewinnabführungsvertrags gelten nicht als Verstoß gegen die </w:t>
      </w:r>
      <w:hyperlink w:anchor="b64" w:history="1">
        <w:r>
          <w:rPr>
            <w:color w:val="0A3A8C"/>
            <w:u w:val="single"/>
          </w:rPr>
          <w:t xml:space="preserve">§§ 57</w:t>
        </w:r>
      </w:hyperlink>
      <w:r>
        <w:t xml:space="preserve">, </w:t>
      </w:r>
      <w:hyperlink w:anchor="b65" w:history="1">
        <w:r>
          <w:rPr>
            <w:color w:val="0A3A8C"/>
            <w:u w:val="single"/>
          </w:rPr>
          <w:t xml:space="preserve">58</w:t>
        </w:r>
      </w:hyperlink>
      <w:r>
        <w:t xml:space="preserve"> und </w:t>
      </w:r>
      <w:hyperlink w:anchor="b67" w:history="1">
        <w:r>
          <w:rPr>
            <w:color w:val="0A3A8C"/>
            <w:u w:val="single"/>
          </w:rPr>
          <w:t xml:space="preserve">60</w:t>
        </w:r>
      </w:hyperlink>
      <w:r>
        <w:t>.</w:t>
      </w:r>
    </w:p>
    <w:p>
      <w:pPr>
        <w:pStyle w:val="Heading4"/>
      </w:pPr>
      <w:bookmarkStart w:id="373" w:name="b372"/>
      <w:r>
        <w:t>§ 292 Andere Unternehmensverträge</w:t>
      </w:r>
      <w:r>
        <w:t xml:space="preserve"> </w:t>
      </w:r>
      <w:r>
        <w:rPr>
          <w:rStyle w:val="Suchmarke"/>
        </w:rPr>
        <w:t>#292#</w:t>
      </w:r>
      <w:bookmarkEnd w:id="373"/>
    </w:p>
    <w:p>
      <w:r>
        <w:t>(1) Unternehmensverträge sind ferner Verträge, durch die eine Aktiengesellschaft oder Kommanditgesellschaft auf Aktien</w:t>
      </w:r>
    </w:p>
    <w:p>
      <w:pPr>
        <w:tabs>
          <w:tab w:pos="567" w:val="left"/>
        </w:tabs>
        <w:ind w:left="567" w:hanging="567"/>
      </w:pPr>
      <w:r>
        <w:t>1.</w:t>
      </w:r>
      <w:r>
        <w:tab/>
      </w:r>
      <w:r>
        <w:t>sich verpflichtet, ihren Gewinn oder den Gewinn einzelner ihrer Betriebe ganz oder zum Teil mit dem Gewinn anderer Unternehmen oder einzelner Betriebe anderer Unternehmen zur Aufteilung eines gemeinschaftlichen Gewinns zusammenzulegen (Gewinngemeinschaft),</w:t>
      </w:r>
    </w:p>
    <w:p>
      <w:pPr>
        <w:tabs>
          <w:tab w:pos="567" w:val="left"/>
        </w:tabs>
        <w:ind w:left="567" w:hanging="567"/>
      </w:pPr>
      <w:r>
        <w:t>2.</w:t>
      </w:r>
      <w:r>
        <w:tab/>
      </w:r>
      <w:r>
        <w:t>sich verpflichtet, einen Teil ihres Gewinns oder den Gewinn einzelner ihrer Betriebe ganz oder zum Teil an einen anderen abzuführen (Teilgewinnabführungsvertrag),</w:t>
      </w:r>
    </w:p>
    <w:p>
      <w:pPr>
        <w:tabs>
          <w:tab w:pos="567" w:val="left"/>
        </w:tabs>
        <w:ind w:left="567" w:hanging="567"/>
      </w:pPr>
      <w:r>
        <w:t>3.</w:t>
      </w:r>
      <w:r>
        <w:tab/>
      </w:r>
      <w:r>
        <w:t>den Betrieb ihres Unternehmens einem anderen verpachtet oder sonst überläßt (Betriebspachtvertrag, Betriebsüberlassungsvertrag).</w:t>
      </w:r>
    </w:p>
    <w:p>
      <w:r>
        <w:t>(2) Ein Vertrag über eine Gewinnbeteiligung mit Mitgliedern von Vorstand und Aufsichtsrat oder mit einzelnen Arbeitnehmern der Gesellschaft sowie eine Abrede über eine Gewinnbeteiligung im Rahmen von Verträgen des laufenden Geschäftsverkehrs oder Lizenzverträgen ist kein Teilgewinnabführungsvertrag.</w:t>
      </w:r>
    </w:p>
    <w:p>
      <w:r>
        <w:t xml:space="preserve">(3) </w:t>
      </w:r>
      <w:r>
        <w:rPr>
          <w:rStyle w:val="Satznummer"/>
        </w:rPr>
        <w:t>1</w:t>
      </w:r>
      <w:r>
        <w:t xml:space="preserve">Ein Betriebspacht- oder Betriebsüberlassungsvertrag und der Beschluß, durch den die Hauptversammlung dem Vertrag zugestimmt hat, sind nicht deshalb nichtig, weil der Vertrag gegen die </w:t>
      </w:r>
      <w:hyperlink w:anchor="b64" w:history="1">
        <w:r>
          <w:rPr>
            <w:color w:val="0A3A8C"/>
            <w:u w:val="single"/>
          </w:rPr>
          <w:t xml:space="preserve">§§ 57</w:t>
        </w:r>
      </w:hyperlink>
      <w:r>
        <w:t xml:space="preserve">, </w:t>
      </w:r>
      <w:hyperlink w:anchor="b65" w:history="1">
        <w:r>
          <w:rPr>
            <w:color w:val="0A3A8C"/>
            <w:u w:val="single"/>
          </w:rPr>
          <w:t xml:space="preserve">58</w:t>
        </w:r>
      </w:hyperlink>
      <w:r>
        <w:t xml:space="preserve"> und </w:t>
      </w:r>
      <w:hyperlink w:anchor="b67" w:history="1">
        <w:r>
          <w:rPr>
            <w:color w:val="0A3A8C"/>
            <w:u w:val="single"/>
          </w:rPr>
          <w:t xml:space="preserve">60</w:t>
        </w:r>
      </w:hyperlink>
      <w:r>
        <w:t xml:space="preserve"> verstößt. </w:t>
      </w:r>
      <w:r>
        <w:rPr>
          <w:rStyle w:val="Satznummer"/>
        </w:rPr>
        <w:t>2</w:t>
      </w:r>
      <w:r>
        <w:t>Satz 1 schließt die Anfechtung des Beschlusses wegen dieses Verstoßes nicht aus.</w:t>
      </w:r>
    </w:p>
    <w:p>
      <w:pPr>
        <w:pStyle w:val="Heading3"/>
      </w:pPr>
      <w:bookmarkStart w:id="374" w:name="b373"/>
      <w:r>
        <w:t>Zweiter Abschnitt Abschluß, Änderung und Beendigung von Unternehmensverträgen</w:t>
      </w:r>
      <w:bookmarkEnd w:id="374"/>
    </w:p>
    <w:p>
      <w:pPr>
        <w:pStyle w:val="Heading4"/>
      </w:pPr>
      <w:bookmarkStart w:id="375" w:name="b374"/>
      <w:r>
        <w:t>§ 293 Zustimmung der Hauptversammlung</w:t>
      </w:r>
      <w:r>
        <w:t xml:space="preserve"> </w:t>
      </w:r>
      <w:r>
        <w:rPr>
          <w:rStyle w:val="Suchmarke"/>
        </w:rPr>
        <w:t>#293#</w:t>
      </w:r>
      <w:bookmarkEnd w:id="375"/>
    </w:p>
    <w:p>
      <w:r>
        <w:t xml:space="preserve">(1) </w:t>
      </w:r>
      <w:r>
        <w:rPr>
          <w:rStyle w:val="Satznummer"/>
        </w:rPr>
        <w:t>1</w:t>
      </w:r>
      <w:r>
        <w:t xml:space="preserve">Ein Unternehmensvertrag wird nur mit Zustimmung der Hauptversammlung wirksam. </w:t>
      </w:r>
      <w:r>
        <w:rPr>
          <w:rStyle w:val="Satznummer"/>
        </w:rPr>
        <w:t>2</w:t>
      </w:r>
      <w:r>
        <w:t xml:space="preserve">Der Beschluß bedarf einer Mehrheit, die mindestens drei Viertel des bei der Beschlußfassung vertretenen Grundkapitals umfaßt. </w:t>
      </w:r>
      <w:r>
        <w:rPr>
          <w:rStyle w:val="Satznummer"/>
        </w:rPr>
        <w:t>3</w:t>
      </w:r>
      <w:r>
        <w:t xml:space="preserve">Die Satzung kann eine größere Kapitalmehrheit und weitere Erfordernisse bestimmen. </w:t>
      </w:r>
      <w:r>
        <w:rPr>
          <w:rStyle w:val="Satznummer"/>
        </w:rPr>
        <w:t>4</w:t>
      </w:r>
      <w:r>
        <w:t>Auf den Beschluß sind die Bestimmungen des Gesetzes und der Satzung über Satzungsänderungen nicht anzuwenden.</w:t>
      </w:r>
    </w:p>
    <w:p>
      <w:r>
        <w:t xml:space="preserve">(2) </w:t>
      </w:r>
      <w:r>
        <w:rPr>
          <w:rStyle w:val="Satznummer"/>
        </w:rPr>
        <w:t>1</w:t>
      </w:r>
      <w:r>
        <w:t xml:space="preserve">Ein Beherrschungs- oder ein Gewinnabführungsvertrag wird, wenn der andere Vertragsteil eine Aktiengesellschaft oder Kommanditgesellschaft auf Aktien ist, nur wirksam, wenn auch die Hauptversammlung dieser Gesellschaft zustimmt. </w:t>
      </w:r>
      <w:r>
        <w:rPr>
          <w:rStyle w:val="Satznummer"/>
        </w:rPr>
        <w:t>2</w:t>
      </w:r>
      <w:r>
        <w:t>Für den Beschluß gilt Absatz 1 Satz 2 bis 4 sinngemäß.</w:t>
      </w:r>
    </w:p>
    <w:p>
      <w:r>
        <w:t>(3) Der Vertrag bedarf der schriftlichen Form.</w:t>
      </w:r>
    </w:p>
    <w:p>
      <w:r>
        <w:t>(4) (weggefallen)</w:t>
      </w:r>
    </w:p>
    <w:p>
      <w:pPr>
        <w:pStyle w:val="Heading4"/>
      </w:pPr>
      <w:bookmarkStart w:id="376" w:name="b375"/>
      <w:r>
        <w:t>§ 293a Bericht über den Unternehmensvertrag</w:t>
      </w:r>
      <w:r>
        <w:t xml:space="preserve"> </w:t>
      </w:r>
      <w:r>
        <w:rPr>
          <w:rStyle w:val="Suchmarke"/>
        </w:rPr>
        <w:t>#293a#</w:t>
      </w:r>
      <w:bookmarkEnd w:id="376"/>
    </w:p>
    <w:p>
      <w:r>
        <w:t xml:space="preserve">(1) </w:t>
      </w:r>
      <w:r>
        <w:rPr>
          <w:rStyle w:val="Satznummer"/>
        </w:rPr>
        <w:t>1</w:t>
      </w:r>
      <w:r>
        <w:t xml:space="preserve">Der Vorstand jeder an einem Unternehmensvertrag beteiligten Aktiengesellschaft oder Kommanditgesellschaft auf Aktien hat, soweit die Zustimmung der Hauptversammlung nach </w:t>
      </w:r>
      <w:hyperlink w:anchor="b374" w:history="1">
        <w:r>
          <w:rPr>
            <w:color w:val="0A3A8C"/>
            <w:u w:val="single"/>
          </w:rPr>
          <w:t xml:space="preserve">§ 293</w:t>
        </w:r>
      </w:hyperlink>
      <w:r>
        <w:t xml:space="preserve"> erforderlich ist, einen ausführlichen schriftlichen Bericht zu erstatten, in dem der Abschluß des Unternehmensvertrags, der Vertrag im einzelnen und insbesondere Art und Höhe des Ausgleichs nach </w:t>
      </w:r>
      <w:hyperlink w:anchor="b394" w:history="1">
        <w:r>
          <w:rPr>
            <w:color w:val="0A3A8C"/>
            <w:u w:val="single"/>
          </w:rPr>
          <w:t xml:space="preserve">§ 304</w:t>
        </w:r>
      </w:hyperlink>
      <w:r>
        <w:t xml:space="preserve"> und der Abfindung nach </w:t>
      </w:r>
      <w:hyperlink w:anchor="b395" w:history="1">
        <w:r>
          <w:rPr>
            <w:color w:val="0A3A8C"/>
            <w:u w:val="single"/>
          </w:rPr>
          <w:t xml:space="preserve">§ 305</w:t>
        </w:r>
      </w:hyperlink>
      <w:r>
        <w:t xml:space="preserve"> rechtlich und wirtschaftlich erläutert und begründet werden; der Bericht kann von den Vorständen auch gemeinsam erstattet werden. </w:t>
      </w:r>
      <w:r>
        <w:rPr>
          <w:rStyle w:val="Satznummer"/>
        </w:rPr>
        <w:t>2</w:t>
      </w:r>
      <w:r>
        <w:t>Auf besondere Schwierigkeiten bei der Bewertung der vertragschließenden Unternehmen sowie auf die Folgen für die Beteiligungen der Aktionäre ist hinzuweisen.</w:t>
      </w:r>
    </w:p>
    <w:p>
      <w:r>
        <w:t xml:space="preserve">(2) </w:t>
      </w:r>
      <w:r>
        <w:rPr>
          <w:rStyle w:val="Satznummer"/>
        </w:rPr>
        <w:t>1</w:t>
      </w:r>
      <w:r>
        <w:t xml:space="preserve">In den Bericht brauchen Tatsachen nicht aufgenommen zu werden, deren Bekanntwerden geeignet ist, einem der vertragschließenden Unternehmen oder einem verbundenen Unternehmen einen nicht unerheblichen Nachteil zuzufügen. </w:t>
      </w:r>
      <w:r>
        <w:rPr>
          <w:rStyle w:val="Satznummer"/>
        </w:rPr>
        <w:t>2</w:t>
      </w:r>
      <w:r>
        <w:t>In diesem Falle sind in dem Bericht die Gründe, aus denen die Tatsachen nicht aufgenommen worden sind, darzulegen.</w:t>
      </w:r>
    </w:p>
    <w:p>
      <w:r>
        <w:t>(3) Der Bericht ist nicht erforderlich, wenn alle Anteilsinhaber aller beteiligten Unternehmen auf seine Erstattung durch öffentlich beglaubigte Erklärung verzichten.</w:t>
      </w:r>
    </w:p>
    <w:p>
      <w:pPr>
        <w:pStyle w:val="Heading4"/>
      </w:pPr>
      <w:bookmarkStart w:id="377" w:name="b376"/>
      <w:r>
        <w:t>§ 293b Prüfung des Unternehmensvertrags</w:t>
      </w:r>
      <w:r>
        <w:t xml:space="preserve"> </w:t>
      </w:r>
      <w:r>
        <w:rPr>
          <w:rStyle w:val="Suchmarke"/>
        </w:rPr>
        <w:t>#293b#</w:t>
      </w:r>
      <w:bookmarkEnd w:id="377"/>
    </w:p>
    <w:p>
      <w:r>
        <w:t>(1) Der Unternehmensvertrag ist für jede vertragschließende Aktiengesellschaft oder Kommanditgesellschaft auf Aktien durch einen oder mehrere sachverständige Prüfer (Vertragsprüfer) zu prüfen, es sei denn, daß sich alle Aktien der abhängigen Gesellschaft in der Hand des herrschenden Unternehmens befinden.</w:t>
      </w:r>
    </w:p>
    <w:p>
      <w:r>
        <w:t xml:space="preserve">(2) </w:t>
      </w:r>
      <w:hyperlink w:anchor="b375" w:history="1">
        <w:r>
          <w:rPr>
            <w:color w:val="0A3A8C"/>
            <w:u w:val="single"/>
          </w:rPr>
          <w:t xml:space="preserve">§ 293a</w:t>
        </w:r>
      </w:hyperlink>
      <w:r>
        <w:t xml:space="preserve"> Abs. 3 ist entsprechend anzuwenden.</w:t>
      </w:r>
    </w:p>
    <w:p>
      <w:pPr>
        <w:pStyle w:val="Heading4"/>
      </w:pPr>
      <w:bookmarkStart w:id="378" w:name="b377"/>
      <w:r>
        <w:t>§ 293c Bestellung der Vertragsprüfer</w:t>
      </w:r>
      <w:r>
        <w:t xml:space="preserve"> </w:t>
      </w:r>
      <w:r>
        <w:rPr>
          <w:rStyle w:val="Suchmarke"/>
        </w:rPr>
        <w:t>#293c#</w:t>
      </w:r>
      <w:bookmarkEnd w:id="378"/>
    </w:p>
    <w:p>
      <w:r>
        <w:t xml:space="preserve">(1) </w:t>
      </w:r>
      <w:r>
        <w:rPr>
          <w:rStyle w:val="Satznummer"/>
        </w:rPr>
        <w:t>1</w:t>
      </w:r>
      <w:r>
        <w:t xml:space="preserve">Die Vertragsprüfer werden jeweils auf Antrag der Vorstände der vertragschließenden Gesellschaften vom Gericht ausgewählt und bestellt. </w:t>
      </w:r>
      <w:r>
        <w:rPr>
          <w:rStyle w:val="Satznummer"/>
        </w:rPr>
        <w:t>2</w:t>
      </w:r>
      <w:r>
        <w:t xml:space="preserve">Sie können auf gemeinsamen Antrag der Vorstände für alle vertragschließenden Gesellschaften gemeinsam bestellt werden. </w:t>
      </w:r>
      <w:r>
        <w:rPr>
          <w:rStyle w:val="Satznummer"/>
        </w:rPr>
        <w:t>3</w:t>
      </w:r>
      <w:r>
        <w:t xml:space="preserve">Zuständig ist das Landgericht, in dessen Bezirk die abhängige Gesellschaft ihren Sitz hat. </w:t>
      </w:r>
      <w:r>
        <w:rPr>
          <w:rStyle w:val="Satznummer"/>
        </w:rPr>
        <w:t>4</w:t>
      </w:r>
      <w:r>
        <w:t xml:space="preserve">Ist bei dem Landgericht eine Kammer für Handelssachen gebildet, so entscheidet deren Vorsitzender an Stelle der Zivilkammer. </w:t>
      </w:r>
      <w:r>
        <w:rPr>
          <w:rStyle w:val="Satznummer"/>
        </w:rPr>
        <w:t>5</w:t>
      </w:r>
      <w:r>
        <w:t>Für den Ersatz von Auslagen und für die Vergütung der vom Gericht bestellten Prüfer gilt § 318 Abs. 5 des Handelsgesetzbuchs.</w:t>
      </w:r>
    </w:p>
    <w:p>
      <w:r>
        <w:t>(2) § 10 Abs. 3 bis 5 des Umwandlungsgesetzes gilt entsprechend.</w:t>
      </w:r>
    </w:p>
    <w:p>
      <w:pPr>
        <w:pStyle w:val="Heading4"/>
      </w:pPr>
      <w:bookmarkStart w:id="379" w:name="b378"/>
      <w:r>
        <w:t>§ 293d Auswahl, Stellung und Verantwortlichkeit der Vertragsprüfer</w:t>
      </w:r>
      <w:r>
        <w:t xml:space="preserve"> </w:t>
      </w:r>
      <w:r>
        <w:rPr>
          <w:rStyle w:val="Suchmarke"/>
        </w:rPr>
        <w:t>#293d#</w:t>
      </w:r>
      <w:bookmarkEnd w:id="379"/>
    </w:p>
    <w:p>
      <w:r>
        <w:t xml:space="preserve">(1) </w:t>
      </w:r>
      <w:r>
        <w:rPr>
          <w:rStyle w:val="Satznummer"/>
        </w:rPr>
        <w:t>1</w:t>
      </w:r>
      <w:r>
        <w:t xml:space="preserve">Für die Auswahl und das Auskunftsrecht der Vertragsprüfer gelten § 319 Abs. 1 bis 4, § 319b Abs. 1, § 320 Abs. 1 Satz 2 und Abs. 2 Satz 1 und 2 des Handelsgesetzbuchs entsprechend. </w:t>
      </w:r>
      <w:r>
        <w:rPr>
          <w:rStyle w:val="Satznummer"/>
        </w:rPr>
        <w:t>2</w:t>
      </w:r>
      <w:r>
        <w:t xml:space="preserve">Bei einer Gesellschaft, die Unternehmen von öffentlichem Interesse nach § 316a Satz 2 des Handelsgesetzbuchs ist, gilt für die Auswahl des Vertragsprüfers neben Satz 1 auch Artikel 5 Absatz 1 der Verordnung (EU) Nr. 537/2014 entsprechend mit der Maßgabe, dass an die Stelle der in Artikel 5 Absatz 1 Unterabsatz 1 Buchstabe a und b der Verordnung (EU) Nr. 537/2014 genannten Zeiträume der Zeitraum zwischen dem Beginn des Geschäftsjahres, welches dem Geschäftsjahr vorausgeht, in dem der Unternehmensvertrag geschlossen wurde, und dem Zeitpunkt, in dem der Vertragsprüfer den Prüfungsbericht nach </w:t>
      </w:r>
      <w:hyperlink w:anchor="b379" w:history="1">
        <w:r>
          <w:rPr>
            <w:color w:val="0A3A8C"/>
            <w:u w:val="single"/>
          </w:rPr>
          <w:t xml:space="preserve">§ 293e</w:t>
        </w:r>
      </w:hyperlink>
      <w:r>
        <w:t xml:space="preserve"> erstattet hat, tritt. </w:t>
      </w:r>
      <w:r>
        <w:rPr>
          <w:rStyle w:val="Satznummer"/>
        </w:rPr>
        <w:t>3</w:t>
      </w:r>
      <w:r>
        <w:t>Das Auskunftsrecht besteht gegenüber den vertragschließenden Unternehmen und gegenüber einem Konzernunternehmen sowie einem abhängigen und einem herrschenden Unternehmen.</w:t>
      </w:r>
    </w:p>
    <w:p>
      <w:r>
        <w:t xml:space="preserve">(2) </w:t>
      </w:r>
      <w:r>
        <w:rPr>
          <w:rStyle w:val="Satznummer"/>
        </w:rPr>
        <w:t>1</w:t>
      </w:r>
      <w:r>
        <w:t xml:space="preserve">Für die Verantwortlichkeit der Vertragsprüfer, ihrer Gehilfen und der bei der Prüfung mitwirkenden gesetzlichen Vertreter einer Prüfungsgesellschaft gilt § 323 des Handelsgesetzbuchs entsprechend. </w:t>
      </w:r>
      <w:r>
        <w:rPr>
          <w:rStyle w:val="Satznummer"/>
        </w:rPr>
        <w:t>2</w:t>
      </w:r>
      <w:r>
        <w:t>Die Verantwortlichkeit besteht gegenüber den vertragschließenden Unternehmen und deren Anteilsinhabern.</w:t>
      </w:r>
    </w:p>
    <w:p>
      <w:pPr>
        <w:pStyle w:val="Heading4"/>
      </w:pPr>
      <w:bookmarkStart w:id="380" w:name="b379"/>
      <w:r>
        <w:t>§ 293e Prüfungsbericht</w:t>
      </w:r>
      <w:r>
        <w:t xml:space="preserve"> </w:t>
      </w:r>
      <w:r>
        <w:rPr>
          <w:rStyle w:val="Suchmarke"/>
        </w:rPr>
        <w:t>#293e#</w:t>
      </w:r>
      <w:bookmarkEnd w:id="380"/>
    </w:p>
    <w:p>
      <w:r>
        <w:t xml:space="preserve">(1) </w:t>
      </w:r>
      <w:r>
        <w:rPr>
          <w:rStyle w:val="Satznummer"/>
        </w:rPr>
        <w:t>1</w:t>
      </w:r>
      <w:r>
        <w:t xml:space="preserve">Die Vertragsprüfer haben über das Ergebnis der Prüfung schriftlich zu berichten. </w:t>
      </w:r>
      <w:r>
        <w:rPr>
          <w:rStyle w:val="Satznummer"/>
        </w:rPr>
        <w:t>2</w:t>
      </w:r>
      <w:r>
        <w:t xml:space="preserve">Der Prüfungsbericht ist mit einer Erklärung darüber abzuschließen, ob der vorgeschlagene Ausgleich oder die vorgeschlagene Abfindung angemessen ist. </w:t>
      </w:r>
      <w:r>
        <w:rPr>
          <w:rStyle w:val="Satznummer"/>
        </w:rPr>
        <w:t>3</w:t>
      </w:r>
      <w:r>
        <w:t>Dabei ist anzugeben,</w:t>
      </w:r>
    </w:p>
    <w:p>
      <w:pPr>
        <w:tabs>
          <w:tab w:pos="567" w:val="left"/>
        </w:tabs>
        <w:ind w:left="567" w:hanging="567"/>
      </w:pPr>
      <w:r>
        <w:t>1.</w:t>
      </w:r>
      <w:r>
        <w:tab/>
      </w:r>
      <w:r>
        <w:t>nach welchen Methoden Ausgleich und Abfindung ermittelt worden sind;</w:t>
      </w:r>
    </w:p>
    <w:p>
      <w:pPr>
        <w:tabs>
          <w:tab w:pos="567" w:val="left"/>
        </w:tabs>
        <w:ind w:left="567" w:hanging="567"/>
      </w:pPr>
      <w:r>
        <w:t>2.</w:t>
      </w:r>
      <w:r>
        <w:tab/>
      </w:r>
      <w:r>
        <w:t>aus welchen Gründen die Anwendung dieser Methoden angemessen ist;</w:t>
      </w:r>
    </w:p>
    <w:p>
      <w:pPr>
        <w:tabs>
          <w:tab w:pos="567" w:val="left"/>
        </w:tabs>
        <w:ind w:left="567" w:hanging="567"/>
      </w:pPr>
      <w:r>
        <w:t>3.</w:t>
      </w:r>
      <w:r>
        <w:tab/>
      </w:r>
      <w:r>
        <w:t>welcher Ausgleich oder welche Abfindung sich bei der Anwendung verschiedener Methoden, sofern mehrere angewandt worden sind, jeweils ergeben würde; zugleich ist darzulegen, welches Gewicht den verschiedenen Methoden bei der Bestimmung des vorgeschlagenen Ausgleichs oder der vorgeschlagenen Abfindung und der ihnen zugrunde liegenden Werte beigemessen worden ist und welche besonderen Schwierigkeiten bei der Bewertung der vertragschließenden Unternehmen aufgetreten sind.</w:t>
      </w:r>
    </w:p>
    <w:p>
      <w:r>
        <w:t xml:space="preserve">(2) </w:t>
      </w:r>
      <w:hyperlink w:anchor="b375" w:history="1">
        <w:r>
          <w:rPr>
            <w:color w:val="0A3A8C"/>
            <w:u w:val="single"/>
          </w:rPr>
          <w:t xml:space="preserve">§ 293a</w:t>
        </w:r>
      </w:hyperlink>
      <w:r>
        <w:t xml:space="preserve"> Abs. 2 und 3 ist entsprechend anzuwenden.</w:t>
      </w:r>
    </w:p>
    <w:p>
      <w:pPr>
        <w:pStyle w:val="Heading4"/>
      </w:pPr>
      <w:bookmarkStart w:id="381" w:name="b380"/>
      <w:r>
        <w:t>§ 293f Vorbereitung der Hauptversammlung</w:t>
      </w:r>
      <w:r>
        <w:t xml:space="preserve"> </w:t>
      </w:r>
      <w:r>
        <w:rPr>
          <w:rStyle w:val="Suchmarke"/>
        </w:rPr>
        <w:t>#293f#</w:t>
      </w:r>
      <w:bookmarkEnd w:id="381"/>
    </w:p>
    <w:p>
      <w:r>
        <w:t>(1) Von der Einberufung der Hauptversammlung an, die über die Zustimmung zu dem Unternehmensvertrag beschließen soll, sind in dem Geschäftsraum jeder der beteiligten Aktiengesellschaften oder Kommanditgesellschaften auf Aktien zur Einsicht der Aktionäre auszulegen</w:t>
      </w:r>
    </w:p>
    <w:p>
      <w:pPr>
        <w:tabs>
          <w:tab w:pos="567" w:val="left"/>
        </w:tabs>
        <w:ind w:left="567" w:hanging="567"/>
      </w:pPr>
      <w:r>
        <w:t>1.</w:t>
      </w:r>
      <w:r>
        <w:tab/>
      </w:r>
      <w:r>
        <w:t>der Unternehmensvertrag;</w:t>
      </w:r>
    </w:p>
    <w:p>
      <w:pPr>
        <w:tabs>
          <w:tab w:pos="567" w:val="left"/>
        </w:tabs>
        <w:ind w:left="567" w:hanging="567"/>
      </w:pPr>
      <w:r>
        <w:t>2.</w:t>
      </w:r>
      <w:r>
        <w:tab/>
      </w:r>
      <w:r>
        <w:t>die Jahresabschlüsse und die Lageberichte der vertragschließenden Unternehmen für die letzten drei Geschäftsjahre;</w:t>
      </w:r>
    </w:p>
    <w:p>
      <w:pPr>
        <w:tabs>
          <w:tab w:pos="567" w:val="left"/>
        </w:tabs>
        <w:ind w:left="567" w:hanging="567"/>
      </w:pPr>
      <w:r>
        <w:t>3.</w:t>
      </w:r>
      <w:r>
        <w:tab/>
      </w:r>
      <w:r>
        <w:t xml:space="preserve">die nach </w:t>
      </w:r>
      <w:hyperlink w:anchor="b375" w:history="1">
        <w:r>
          <w:rPr>
            <w:color w:val="0A3A8C"/>
            <w:u w:val="single"/>
          </w:rPr>
          <w:t xml:space="preserve">§ 293a</w:t>
        </w:r>
      </w:hyperlink>
      <w:r>
        <w:t xml:space="preserve"> erstatteten Berichte der Vorstände und die nach </w:t>
      </w:r>
      <w:hyperlink w:anchor="b379" w:history="1">
        <w:r>
          <w:rPr>
            <w:color w:val="0A3A8C"/>
            <w:u w:val="single"/>
          </w:rPr>
          <w:t xml:space="preserve">§ 293e</w:t>
        </w:r>
      </w:hyperlink>
      <w:r>
        <w:t xml:space="preserve"> erstatteten Berichte der Vertragsprüfer.</w:t>
      </w:r>
    </w:p>
    <w:p>
      <w:r>
        <w:t>(2) Auf Verlangen ist jedem Aktionär unverzüglich und kostenlos eine Abschrift der in Absatz 1 bezeichneten Unterlagen zu erteilen.</w:t>
      </w:r>
    </w:p>
    <w:p>
      <w:r>
        <w:t>(3) Die Verpflichtungen nach den Absätzen 1 und 2 entfallen, wenn die in Absatz 1 bezeichneten Unterlagen für denselben Zeitraum über die Internetseite der Gesellschaft zugänglich sind.</w:t>
      </w:r>
    </w:p>
    <w:p>
      <w:pPr>
        <w:pStyle w:val="Heading4"/>
      </w:pPr>
      <w:bookmarkStart w:id="382" w:name="b381"/>
      <w:r>
        <w:t>§ 293g Durchführung der Hauptversammlung</w:t>
      </w:r>
      <w:r>
        <w:t xml:space="preserve"> </w:t>
      </w:r>
      <w:r>
        <w:rPr>
          <w:rStyle w:val="Suchmarke"/>
        </w:rPr>
        <w:t>#293g#</w:t>
      </w:r>
      <w:bookmarkEnd w:id="382"/>
    </w:p>
    <w:p>
      <w:r>
        <w:t xml:space="preserve">(1) In der Hauptversammlung sind die in </w:t>
      </w:r>
      <w:hyperlink w:anchor="b380" w:history="1">
        <w:r>
          <w:rPr>
            <w:color w:val="0A3A8C"/>
            <w:u w:val="single"/>
          </w:rPr>
          <w:t xml:space="preserve">§ 293f</w:t>
        </w:r>
      </w:hyperlink>
      <w:r>
        <w:t xml:space="preserve"> Abs. 1 bezeichneten Unterlagen zugänglich zu machen.</w:t>
      </w:r>
    </w:p>
    <w:p>
      <w:r>
        <w:t xml:space="preserve">(2) </w:t>
      </w:r>
      <w:r>
        <w:rPr>
          <w:rStyle w:val="Satznummer"/>
        </w:rPr>
        <w:t>1</w:t>
      </w:r>
      <w:r>
        <w:t xml:space="preserve">Der Vorstand hat den Unternehmensvertrag zu Beginn der Verhandlung mündlich zu erläutern. </w:t>
      </w:r>
      <w:r>
        <w:rPr>
          <w:rStyle w:val="Satznummer"/>
        </w:rPr>
        <w:t>2</w:t>
      </w:r>
      <w:r>
        <w:t>Er ist der Niederschrift als Anlage beizufügen.</w:t>
      </w:r>
    </w:p>
    <w:p>
      <w:r>
        <w:t>(3) Jedem Aktionär ist auf Verlangen in der Hauptversammlung Auskunft auch über alle für den Vertragsschluß wesentlichen Angelegenheiten des anderen Vertragsteils zu geben.</w:t>
      </w:r>
    </w:p>
    <w:p>
      <w:pPr>
        <w:pStyle w:val="Heading4"/>
      </w:pPr>
      <w:bookmarkStart w:id="383" w:name="b382"/>
      <w:r>
        <w:t>§ 294 Eintragung. Wirksamwerden</w:t>
      </w:r>
      <w:r>
        <w:t xml:space="preserve"> </w:t>
      </w:r>
      <w:r>
        <w:rPr>
          <w:rStyle w:val="Suchmarke"/>
        </w:rPr>
        <w:t>#294#</w:t>
      </w:r>
      <w:bookmarkEnd w:id="383"/>
    </w:p>
    <w:p>
      <w:r>
        <w:t xml:space="preserve">(1) </w:t>
      </w:r>
      <w:r>
        <w:rPr>
          <w:rStyle w:val="Satznummer"/>
        </w:rPr>
        <w:t>1</w:t>
      </w:r>
      <w:r>
        <w:t xml:space="preserve">Der Vorstand der Gesellschaft hat das Bestehen und die Art des Unternehmensvertrages sowie den Namen des anderen Vertragsteils zur Eintragung in das Handelsregister anzumelden; beim Bestehen einer Vielzahl von Teilgewinnabführungsverträgen kann anstelle des Namens des anderen Vertragsteils auch eine andere Bezeichnung eingetragen werden, die den jeweiligen Teilgewinnabführungsvertrag konkret bestimmt. </w:t>
      </w:r>
      <w:r>
        <w:rPr>
          <w:rStyle w:val="Satznummer"/>
        </w:rPr>
        <w:t>2</w:t>
      </w:r>
      <w:r>
        <w:t>Der Anmeldung sind der Vertrag sowie, wenn er nur mit Zustimmung der Hauptversammlung des anderen Vertragsteils wirksam wird, die Niederschrift dieses Beschlusses und ihre Anlagen in Urschrift, Ausfertigung oder öffentlich beglaubigter Abschrift beizufügen.</w:t>
      </w:r>
    </w:p>
    <w:p>
      <w:r>
        <w:t>(2) Der Vertrag wird erst wirksam, wenn sein Bestehen in das Handelsregister des Sitzes der Gesellschaft eingetragen worden ist.</w:t>
      </w:r>
    </w:p>
    <w:p>
      <w:pPr>
        <w:pStyle w:val="Heading4"/>
      </w:pPr>
      <w:bookmarkStart w:id="384" w:name="b383"/>
      <w:r>
        <w:t>§ 295 Änderung</w:t>
      </w:r>
      <w:r>
        <w:t xml:space="preserve"> </w:t>
      </w:r>
      <w:r>
        <w:rPr>
          <w:rStyle w:val="Suchmarke"/>
        </w:rPr>
        <w:t>#295#</w:t>
      </w:r>
      <w:bookmarkEnd w:id="384"/>
    </w:p>
    <w:p>
      <w:r>
        <w:t xml:space="preserve">(1) </w:t>
      </w:r>
      <w:r>
        <w:rPr>
          <w:rStyle w:val="Satznummer"/>
        </w:rPr>
        <w:t>1</w:t>
      </w:r>
      <w:r>
        <w:t xml:space="preserve">Ein Unternehmensvertrag kann nur mit Zustimmung der Hauptversammlung geändert werden. </w:t>
      </w:r>
      <w:r>
        <w:rPr>
          <w:rStyle w:val="Satznummer"/>
        </w:rPr>
        <w:t>2</w:t>
      </w:r>
      <w:hyperlink w:anchor="b374" w:history="1">
        <w:r>
          <w:rPr>
            <w:color w:val="0A3A8C"/>
            <w:u w:val="single"/>
          </w:rPr>
          <w:t xml:space="preserve">§§ 293</w:t>
        </w:r>
      </w:hyperlink>
      <w:r>
        <w:t xml:space="preserve"> bis </w:t>
      </w:r>
      <w:hyperlink w:anchor="b382" w:history="1">
        <w:r>
          <w:rPr>
            <w:color w:val="0A3A8C"/>
            <w:u w:val="single"/>
          </w:rPr>
          <w:t xml:space="preserve">294</w:t>
        </w:r>
      </w:hyperlink>
      <w:r>
        <w:t xml:space="preserve"> gelten sinngemäß.</w:t>
      </w:r>
    </w:p>
    <w:p>
      <w:r>
        <w:t xml:space="preserve">(2) </w:t>
      </w:r>
      <w:r>
        <w:rPr>
          <w:rStyle w:val="Satznummer"/>
        </w:rPr>
        <w:t>1</w:t>
      </w:r>
      <w:r>
        <w:t xml:space="preserve">Die Zustimmung der Hauptversammlung der Gesellschaft zu einer Änderung der Bestimmungen des Vertrags, die zur Leistung eines Ausgleichs an die außenstehenden Aktionäre der Gesellschaft oder zum Erwerb ihrer Aktien verpflichten, bedarf, um wirksam zu werden, eines Sonderbeschlusses der außenstehenden Aktionäre. </w:t>
      </w:r>
      <w:r>
        <w:rPr>
          <w:rStyle w:val="Satznummer"/>
        </w:rPr>
        <w:t>2</w:t>
      </w:r>
      <w:r>
        <w:t xml:space="preserve">Für den Sonderbeschluß gilt </w:t>
      </w:r>
      <w:hyperlink w:anchor="b374" w:history="1">
        <w:r>
          <w:rPr>
            <w:color w:val="0A3A8C"/>
            <w:u w:val="single"/>
          </w:rPr>
          <w:t xml:space="preserve">§ 293</w:t>
        </w:r>
      </w:hyperlink>
      <w:r>
        <w:t xml:space="preserve"> Abs. 1 Satz 2 und 3. </w:t>
      </w:r>
      <w:r>
        <w:rPr>
          <w:rStyle w:val="Satznummer"/>
        </w:rPr>
        <w:t>3</w:t>
      </w:r>
      <w:r>
        <w:t>Jedem außenstehenden Aktionär ist auf Verlangen in der Versammlung, die über die Zustimmung beschließt, Auskunft auch über alle für die Änderung wesentlichen Angelegenheiten des anderen Vertragsteils zu geben.</w:t>
      </w:r>
    </w:p>
    <w:p>
      <w:pPr>
        <w:pStyle w:val="Heading4"/>
      </w:pPr>
      <w:bookmarkStart w:id="385" w:name="b384"/>
      <w:r>
        <w:t>§ 296 Aufhebung</w:t>
      </w:r>
      <w:r>
        <w:t xml:space="preserve"> </w:t>
      </w:r>
      <w:r>
        <w:rPr>
          <w:rStyle w:val="Suchmarke"/>
        </w:rPr>
        <w:t>#296#</w:t>
      </w:r>
      <w:bookmarkEnd w:id="385"/>
    </w:p>
    <w:p>
      <w:r>
        <w:t xml:space="preserve">(1) </w:t>
      </w:r>
      <w:r>
        <w:rPr>
          <w:rStyle w:val="Satznummer"/>
        </w:rPr>
        <w:t>1</w:t>
      </w:r>
      <w:r>
        <w:t xml:space="preserve">Ein Unternehmensvertrag kann nur zum Ende des Geschäftsjahrs oder des sonst vertraglich bestimmten Abrechnungszeitraums aufgehoben werden. </w:t>
      </w:r>
      <w:r>
        <w:rPr>
          <w:rStyle w:val="Satznummer"/>
        </w:rPr>
        <w:t>2</w:t>
      </w:r>
      <w:r>
        <w:t xml:space="preserve">Eine rückwirkende Aufhebung ist unzulässig. </w:t>
      </w:r>
      <w:r>
        <w:rPr>
          <w:rStyle w:val="Satznummer"/>
        </w:rPr>
        <w:t>3</w:t>
      </w:r>
      <w:r>
        <w:t>Die Aufhebung bedarf der schriftlichen Form.</w:t>
      </w:r>
    </w:p>
    <w:p>
      <w:r>
        <w:t xml:space="preserve">(2) </w:t>
      </w:r>
      <w:r>
        <w:rPr>
          <w:rStyle w:val="Satznummer"/>
        </w:rPr>
        <w:t>1</w:t>
      </w:r>
      <w:r>
        <w:t xml:space="preserve">Ein Vertrag, der zur Leistung eines Ausgleichs an die außenstehenden Aktionäre oder zum Erwerb ihrer Aktien verpflichtet, kann nur aufgehoben werden, wenn die außenstehenden Aktionäre durch Sonderbeschluß zustimmen. </w:t>
      </w:r>
      <w:r>
        <w:rPr>
          <w:rStyle w:val="Satznummer"/>
        </w:rPr>
        <w:t>2</w:t>
      </w:r>
      <w:r>
        <w:t xml:space="preserve">Für den Sonderbeschluß gilt </w:t>
      </w:r>
      <w:hyperlink w:anchor="b374" w:history="1">
        <w:r>
          <w:rPr>
            <w:color w:val="0A3A8C"/>
            <w:u w:val="single"/>
          </w:rPr>
          <w:t xml:space="preserve">§ 293</w:t>
        </w:r>
      </w:hyperlink>
      <w:r>
        <w:t xml:space="preserve"> Abs. 1 Satz 2 und 3, </w:t>
      </w:r>
      <w:hyperlink w:anchor="b383" w:history="1">
        <w:r>
          <w:rPr>
            <w:color w:val="0A3A8C"/>
            <w:u w:val="single"/>
          </w:rPr>
          <w:t xml:space="preserve">§ 295</w:t>
        </w:r>
      </w:hyperlink>
      <w:r>
        <w:t xml:space="preserve"> Abs. 2 Satz 3 sinngemäß.</w:t>
      </w:r>
    </w:p>
    <w:p>
      <w:pPr>
        <w:pStyle w:val="Heading4"/>
      </w:pPr>
      <w:bookmarkStart w:id="386" w:name="b385"/>
      <w:r>
        <w:t>§ 297 Kündigung</w:t>
      </w:r>
      <w:r>
        <w:t xml:space="preserve"> </w:t>
      </w:r>
      <w:r>
        <w:rPr>
          <w:rStyle w:val="Suchmarke"/>
        </w:rPr>
        <w:t>#297#</w:t>
      </w:r>
      <w:bookmarkEnd w:id="386"/>
    </w:p>
    <w:p>
      <w:r>
        <w:t xml:space="preserve">(1) </w:t>
      </w:r>
      <w:r>
        <w:rPr>
          <w:rStyle w:val="Satznummer"/>
        </w:rPr>
        <w:t>1</w:t>
      </w:r>
      <w:r>
        <w:t xml:space="preserve">Ein Unternehmensvertrag kann aus wichtigem Grund ohne Einhaltung einer Kündigungsfrist gekündigt werden. </w:t>
      </w:r>
      <w:r>
        <w:rPr>
          <w:rStyle w:val="Satznummer"/>
        </w:rPr>
        <w:t>2</w:t>
      </w:r>
      <w:r>
        <w:t>Ein wichtiger Grund liegt namentlich vor, wenn der andere Vertragsteil voraussichtlich nicht in der Lage sein wird, seine auf Grund des Vertrags bestehenden Verpflichtungen zu erfüllen.</w:t>
      </w:r>
    </w:p>
    <w:p>
      <w:r>
        <w:t xml:space="preserve">(2) </w:t>
      </w:r>
      <w:r>
        <w:rPr>
          <w:rStyle w:val="Satznummer"/>
        </w:rPr>
        <w:t>1</w:t>
      </w:r>
      <w:r>
        <w:t xml:space="preserve">Der Vorstand der Gesellschaft kann einen Vertrag, der zur Leistung eines Ausgleichs an die außenstehenden Aktionäre der Gesellschaft oder zum Erwerb ihrer Aktien verpflichtet, ohne wichtigen Grund nur kündigen, wenn die außenstehenden Aktionäre durch Sonderbeschluß zustimmen. </w:t>
      </w:r>
      <w:r>
        <w:rPr>
          <w:rStyle w:val="Satznummer"/>
        </w:rPr>
        <w:t>2</w:t>
      </w:r>
      <w:r>
        <w:t xml:space="preserve">Für den Sonderbeschluß gilt </w:t>
      </w:r>
      <w:hyperlink w:anchor="b374" w:history="1">
        <w:r>
          <w:rPr>
            <w:color w:val="0A3A8C"/>
            <w:u w:val="single"/>
          </w:rPr>
          <w:t xml:space="preserve">§ 293</w:t>
        </w:r>
      </w:hyperlink>
      <w:r>
        <w:t xml:space="preserve"> Abs. 1 Satz 2 und 3, </w:t>
      </w:r>
      <w:hyperlink w:anchor="b383" w:history="1">
        <w:r>
          <w:rPr>
            <w:color w:val="0A3A8C"/>
            <w:u w:val="single"/>
          </w:rPr>
          <w:t xml:space="preserve">§ 295</w:t>
        </w:r>
      </w:hyperlink>
      <w:r>
        <w:t xml:space="preserve"> Abs. 2 Satz 3 sinngemäß.</w:t>
      </w:r>
    </w:p>
    <w:p>
      <w:r>
        <w:t>(3) Die Kündigung bedarf der schriftlichen Form.</w:t>
      </w:r>
    </w:p>
    <w:p>
      <w:pPr>
        <w:pStyle w:val="Heading4"/>
      </w:pPr>
      <w:bookmarkStart w:id="387" w:name="b386"/>
      <w:r>
        <w:t>§ 298 Anmeldung und Eintragung</w:t>
      </w:r>
      <w:r>
        <w:t xml:space="preserve"> </w:t>
      </w:r>
      <w:r>
        <w:rPr>
          <w:rStyle w:val="Suchmarke"/>
        </w:rPr>
        <w:t>#298#</w:t>
      </w:r>
      <w:bookmarkEnd w:id="387"/>
    </w:p>
    <w:p>
      <w:r>
        <w:t>Der Vorstand der Gesellschaft hat die Beendigung eines Unternehmensvertrags, den Grund und den Zeitpunkt der Beendigung unverzüglich zur Eintragung in das Handelsregister anzumelden.</w:t>
      </w:r>
    </w:p>
    <w:p>
      <w:pPr>
        <w:pStyle w:val="Heading4"/>
      </w:pPr>
      <w:bookmarkStart w:id="388" w:name="b387"/>
      <w:r>
        <w:t>§ 299 Ausschluß von Weisungen</w:t>
      </w:r>
      <w:r>
        <w:t xml:space="preserve"> </w:t>
      </w:r>
      <w:r>
        <w:rPr>
          <w:rStyle w:val="Suchmarke"/>
        </w:rPr>
        <w:t>#299#</w:t>
      </w:r>
      <w:bookmarkEnd w:id="388"/>
    </w:p>
    <w:p>
      <w:r>
        <w:t>Auf Grund eines Unternehmensvertrags kann der Gesellschaft nicht die Weisung erteilt werden, den Vertrag zu ändern, aufrechtzuerhalten oder zu beendigen.</w:t>
      </w:r>
    </w:p>
    <w:p>
      <w:pPr>
        <w:pStyle w:val="Heading3"/>
      </w:pPr>
      <w:bookmarkStart w:id="389" w:name="b388"/>
      <w:r>
        <w:t>Dritter Abschnitt Sicherung der Gesellschaft und der Gläubiger</w:t>
      </w:r>
      <w:bookmarkEnd w:id="389"/>
    </w:p>
    <w:p>
      <w:pPr>
        <w:pStyle w:val="Heading4"/>
      </w:pPr>
      <w:bookmarkStart w:id="390" w:name="b389"/>
      <w:r>
        <w:t>§ 300 Gesetzliche Rücklage</w:t>
      </w:r>
      <w:r>
        <w:t xml:space="preserve"> </w:t>
      </w:r>
      <w:r>
        <w:rPr>
          <w:rStyle w:val="Suchmarke"/>
        </w:rPr>
        <w:t>#300#</w:t>
      </w:r>
      <w:bookmarkEnd w:id="390"/>
    </w:p>
    <w:p>
      <w:r>
        <w:t xml:space="preserve">In die gesetzliche Rücklage sind an Stelle des in </w:t>
      </w:r>
      <w:hyperlink w:anchor="b196" w:history="1">
        <w:r>
          <w:rPr>
            <w:color w:val="0A3A8C"/>
            <w:u w:val="single"/>
          </w:rPr>
          <w:t xml:space="preserve">§ 150</w:t>
        </w:r>
      </w:hyperlink>
      <w:r>
        <w:t xml:space="preserve"> Abs. 2 bestimmten Betrags einzustellen,</w:t>
      </w:r>
    </w:p>
    <w:p>
      <w:pPr>
        <w:tabs>
          <w:tab w:pos="567" w:val="left"/>
        </w:tabs>
        <w:ind w:left="567" w:hanging="567"/>
      </w:pPr>
      <w:r>
        <w:t>1.</w:t>
      </w:r>
      <w:r>
        <w:tab/>
      </w:r>
      <w:r>
        <w:t>wenn ein Gewinnabführungsvertrag besteht, aus dem ohne die Gewinnabführung entstehenden, um einen Verlustvortrag aus dem Vorjahr geminderten Jahresüberschuß der Betrag, der erforderlich ist, um die gesetzliche Rücklage unter Hinzurechnung einer Kapitalrücklage innerhalb der ersten fünf Geschäftsjahre, die während des Bestehens des Vertrags oder nach Durchführung einer Kapitalerhöhung beginnen, gleichmäßig auf den zehnten oder den in der Satzung bestimmten höheren Teil des Grundkapitals aufzufüllen, mindestens aber der in Nummer 2 bestimmte Betrag;</w:t>
      </w:r>
    </w:p>
    <w:p>
      <w:pPr>
        <w:tabs>
          <w:tab w:pos="567" w:val="left"/>
        </w:tabs>
        <w:ind w:left="567" w:hanging="567"/>
      </w:pPr>
      <w:r>
        <w:t>2.</w:t>
      </w:r>
      <w:r>
        <w:tab/>
      </w:r>
      <w:r>
        <w:t>wenn ein Teilgewinnabführungsvertrag besteht, der Betrag, der nach § 150 Abs. 2 aus dem ohne die Gewinnabführung entstehenden, um einen Verlustvortrag aus dem Vorjahr geminderten Jahresüberschuß in die gesetzliche Rücklage einzustellen wäre;</w:t>
      </w:r>
    </w:p>
    <w:p>
      <w:pPr>
        <w:tabs>
          <w:tab w:pos="567" w:val="left"/>
        </w:tabs>
        <w:ind w:left="567" w:hanging="567"/>
      </w:pPr>
      <w:r>
        <w:t>3.</w:t>
      </w:r>
      <w:r>
        <w:tab/>
      </w:r>
      <w:r>
        <w:t xml:space="preserve">wenn ein Beherrschungsvertrag besteht, ohne daß die Gesellschaft auch zur Abführung ihres ganzen Gewinns verpflichtet ist, der zur Auffüllung der gesetzlichen Rücklage nach Nummer 1 erforderliche Betrag, mindestens aber der in </w:t>
      </w:r>
      <w:hyperlink w:anchor="b196" w:history="1">
        <w:r>
          <w:rPr>
            <w:color w:val="0A3A8C"/>
            <w:u w:val="single"/>
          </w:rPr>
          <w:t xml:space="preserve">§ 150</w:t>
        </w:r>
      </w:hyperlink>
      <w:r>
        <w:t xml:space="preserve"> Abs. 2 oder, wenn die Gesellschaft verpflichtet ist, ihren Gewinn zum Teil abzuführen, der in Nummer 2 bestimmte Betrag.</w:t>
      </w:r>
    </w:p>
    <w:p>
      <w:pPr>
        <w:pStyle w:val="Heading4"/>
      </w:pPr>
      <w:bookmarkStart w:id="391" w:name="b390"/>
      <w:r>
        <w:t>§ 301 Höchstbetrag der Gewinnabführung</w:t>
      </w:r>
      <w:r>
        <w:t xml:space="preserve"> </w:t>
      </w:r>
      <w:r>
        <w:rPr>
          <w:rStyle w:val="Suchmarke"/>
        </w:rPr>
        <w:t>#301#</w:t>
      </w:r>
      <w:bookmarkEnd w:id="391"/>
    </w:p>
    <w:p>
      <w:r>
        <w:rPr>
          <w:rStyle w:val="Satznummer"/>
        </w:rPr>
        <w:t>1</w:t>
      </w:r>
      <w:r>
        <w:t xml:space="preserve">Eine Gesellschaft kann, gleichgültig welche Vereinbarungen über die Berechnung des abzuführenden Gewinns getroffen worden sind, als ihren Gewinn höchstens den ohne die Gewinnabführung entstehenden Jahresüberschuss, vermindert um einen Verlustvortrag aus dem Vorjahr, um den Betrag, der nach § 300 in die gesetzlichen Rücklagen einzustellen ist, und den nach § 268 Abs. 8 des Handelsgesetzbuchs ausschüttungsgesperrten Betrag, abführen. </w:t>
      </w:r>
      <w:r>
        <w:rPr>
          <w:rStyle w:val="Satznummer"/>
        </w:rPr>
        <w:t>2</w:t>
      </w:r>
      <w:r>
        <w:t>Sind während der Dauer des Vertrags Beträge in andere Gewinnrücklagen eingestellt worden, so können diese Beträge den anderen Gewinnrücklagen entnommen und als Gewinn abgeführt werden.</w:t>
      </w:r>
    </w:p>
    <w:p>
      <w:pPr>
        <w:pStyle w:val="Heading4"/>
      </w:pPr>
      <w:bookmarkStart w:id="392" w:name="b391"/>
      <w:r>
        <w:t>§ 302 Verlustübernahme</w:t>
      </w:r>
      <w:r>
        <w:t xml:space="preserve"> </w:t>
      </w:r>
      <w:r>
        <w:rPr>
          <w:rStyle w:val="Suchmarke"/>
        </w:rPr>
        <w:t>#302#</w:t>
      </w:r>
      <w:bookmarkEnd w:id="392"/>
    </w:p>
    <w:p>
      <w:r>
        <w:t>(1) Besteht ein Beherrschungs- oder ein Gewinnabführungsvertrag, so hat der andere Vertragsteil jeden während der Vertragsdauer sonst entstehenden Jahresfehlbetrag auszugleichen, soweit dieser nicht dadurch ausgeglichen wird, daß den anderen Gewinnrücklagen Beträge entnommen werden, die während der Vertragsdauer in sie eingestellt worden sind.</w:t>
      </w:r>
    </w:p>
    <w:p>
      <w:r>
        <w:t>(2) Hat eine abhängige Gesellschaft den Betrieb ihres Unternehmens dem herrschenden Unternehmen verpachtet oder sonst überlassen, so hat das herrschende Unternehmen jeden während der Vertragsdauer sonst entstehenden Jahresfehlbetrag auszugleichen, soweit die vereinbarte Gegenleistung das angemessene Entgelt nicht erreicht.</w:t>
      </w:r>
    </w:p>
    <w:p>
      <w:r>
        <w:t xml:space="preserve">(3) </w:t>
      </w:r>
      <w:r>
        <w:rPr>
          <w:rStyle w:val="Satznummer"/>
        </w:rPr>
        <w:t>1</w:t>
      </w:r>
      <w:r>
        <w:t xml:space="preserve">Die Gesellschaft kann auf den Anspruch auf Ausgleich erst drei Jahre nach dem Tag, an dem die Eintragung der Beendigung des Vertrags in das Handelsregister nach § 10 des Handelsgesetzbuchs bekannt gemacht worden ist, verzichten oder sich über ihn vergleichen. </w:t>
      </w:r>
      <w:r>
        <w:rPr>
          <w:rStyle w:val="Satznummer"/>
        </w:rPr>
        <w:t>2</w:t>
      </w:r>
      <w:r>
        <w:t xml:space="preserve">Dies gilt nicht, wenn der Ausgleichspflichtige zahlungsunfähig ist und sich zur Abwendung des Insolvenzverfahrens mit seinen Gläubigern vergleicht oder wenn die Ersatzpflicht in einem Insolvenzplan oder Restrukturierungsplan geregelt wird. </w:t>
      </w:r>
      <w:r>
        <w:rPr>
          <w:rStyle w:val="Satznummer"/>
        </w:rPr>
        <w:t>3</w:t>
      </w:r>
      <w:r>
        <w:t>Der Verzicht oder Vergleich wird nur wirksam, wenn die außenstehenden Aktionäre durch Sonderbeschluß zustimmen und nicht eine Minderheit, deren Anteile zusammen den zehnten Teil des bei der Beschlußfassung vertretenen Grundkapitals erreichen, zur Niederschrift Widerspruch erhebt.</w:t>
      </w:r>
    </w:p>
    <w:p>
      <w:r>
        <w:t>(4) Die Ansprüche aus diesen Vorschriften verjähren in zehn Jahren seit dem Tag, an dem die Eintragung der Beendigung des Vertrags in das Handelsregister nach § 10 des Handelsgesetzbuchs bekannt gemacht worden ist.</w:t>
      </w:r>
    </w:p>
    <w:p>
      <w:pPr>
        <w:pStyle w:val="Heading4"/>
      </w:pPr>
      <w:bookmarkStart w:id="393" w:name="b392"/>
      <w:r>
        <w:t>§ 303 Gläubigerschutz</w:t>
      </w:r>
      <w:r>
        <w:t xml:space="preserve"> </w:t>
      </w:r>
      <w:r>
        <w:rPr>
          <w:rStyle w:val="Suchmarke"/>
        </w:rPr>
        <w:t>#303#</w:t>
      </w:r>
      <w:bookmarkEnd w:id="393"/>
    </w:p>
    <w:p>
      <w:r>
        <w:t xml:space="preserve">(1) </w:t>
      </w:r>
      <w:r>
        <w:rPr>
          <w:rStyle w:val="Satznummer"/>
        </w:rPr>
        <w:t>1</w:t>
      </w:r>
      <w:r>
        <w:t xml:space="preserve">Endet ein Beherrschungs- oder ein Gewinnabführungsvertrag, so hat der andere Vertragsteil den Gläubigern der Gesellschaft, deren Forderungen begründet worden sind, bevor die Eintragung der Beendigung des Vertrags in das Handelsregister nach § 10 des Handelsgesetzbuchs bekannt gemacht worden ist, Sicherheit zu leisten, wenn sie sich binnen sechs Monaten nach der Bekanntmachung der Eintragung zu diesem Zweck bei ihm melden. </w:t>
      </w:r>
      <w:r>
        <w:rPr>
          <w:rStyle w:val="Satznummer"/>
        </w:rPr>
        <w:t>2</w:t>
      </w:r>
      <w:r>
        <w:t>Die Gläubiger sind in einer Bekanntmachung zu der Eintragung auf dieses Recht hinzuweisen.</w:t>
      </w:r>
    </w:p>
    <w:p>
      <w:r>
        <w:t>(2) Das Recht, Sicherheitsleistung zu verlangen, steht Gläubigern nicht zu, die im Fall des Insolvenzverfahrens ein Recht auf vorzugsweise Befriedigung aus einer Deckungsmasse haben, die nach gesetzlicher Vorschrift zu ihrem Schutz errichtet und staatlich überwacht ist.</w:t>
      </w:r>
    </w:p>
    <w:p>
      <w:r>
        <w:t xml:space="preserve">(3) </w:t>
      </w:r>
      <w:r>
        <w:rPr>
          <w:rStyle w:val="Satznummer"/>
        </w:rPr>
        <w:t>1</w:t>
      </w:r>
      <w:r>
        <w:t xml:space="preserve">Statt Sicherheit zu leisten, kann der andere Vertragsteil sich für die Forderung verbürgen. </w:t>
      </w:r>
      <w:r>
        <w:rPr>
          <w:rStyle w:val="Satznummer"/>
        </w:rPr>
        <w:t>2</w:t>
      </w:r>
      <w:r>
        <w:t>§ 349 des Handelsgesetzbuchs über den Ausschluß der Einrede der Vorausklage ist nicht anzuwenden.</w:t>
      </w:r>
    </w:p>
    <w:p>
      <w:pPr>
        <w:pStyle w:val="Heading3"/>
      </w:pPr>
      <w:bookmarkStart w:id="394" w:name="b393"/>
      <w:r>
        <w:t>Vierter Abschnitt Sicherung der außenstehenden Aktionäre bei Beherrschungs- und Gewinnabführungsverträgen</w:t>
      </w:r>
      <w:bookmarkEnd w:id="394"/>
    </w:p>
    <w:p>
      <w:pPr>
        <w:pStyle w:val="Heading4"/>
      </w:pPr>
      <w:bookmarkStart w:id="395" w:name="b394"/>
      <w:r>
        <w:t>§ 304 Angemessener Ausgleich</w:t>
      </w:r>
      <w:r>
        <w:t xml:space="preserve"> </w:t>
      </w:r>
      <w:r>
        <w:rPr>
          <w:rStyle w:val="Suchmarke"/>
        </w:rPr>
        <w:t>#304#</w:t>
      </w:r>
      <w:bookmarkEnd w:id="395"/>
    </w:p>
    <w:p>
      <w:r>
        <w:t xml:space="preserve">(1) </w:t>
      </w:r>
      <w:r>
        <w:rPr>
          <w:rStyle w:val="Satznummer"/>
        </w:rPr>
        <w:t>1</w:t>
      </w:r>
      <w:r>
        <w:t xml:space="preserve">Ein Gewinnabführungsvertrag muß einen angemessenen Ausgleich für die außenstehenden Aktionäre durch eine auf die Anteile am Grundkapital bezogene wiederkehrende Geldleistung (Ausgleichszahlung) vorsehen. </w:t>
      </w:r>
      <w:r>
        <w:rPr>
          <w:rStyle w:val="Satznummer"/>
        </w:rPr>
        <w:t>2</w:t>
      </w:r>
      <w:r>
        <w:t xml:space="preserve">Ein Beherrschungsvertrag muß, wenn die Gesellschaft nicht auch zur Abführung ihres ganzen Gewinns verpflichtet ist, den außenstehenden Aktionären als angemessenen Ausgleich einen bestimmten jährlichen Gewinnanteil nach der für die Ausgleichszahlung bestimmten Höhe garantieren. </w:t>
      </w:r>
      <w:r>
        <w:rPr>
          <w:rStyle w:val="Satznummer"/>
        </w:rPr>
        <w:t>3</w:t>
      </w:r>
      <w:r>
        <w:t>Von der Bestimmung eines angemessenen Ausgleichs kann nur abgesehen werden, wenn die Gesellschaft im Zeitpunkt der Beschlußfassung ihrer Hauptversammlung über den Vertrag keinen außenstehenden Aktionär hat.</w:t>
      </w:r>
    </w:p>
    <w:p>
      <w:r>
        <w:t xml:space="preserve">(2) </w:t>
      </w:r>
      <w:r>
        <w:rPr>
          <w:rStyle w:val="Satznummer"/>
        </w:rPr>
        <w:t>1</w:t>
      </w:r>
      <w:r>
        <w:t xml:space="preserve">Als Ausgleichszahlung ist mindestens die jährliche Zahlung des Betrags zuzusichern, der nach der bisherigen Ertragslage der Gesellschaft und ihren künftigen Ertragsaussichten unter Berücksichtigung angemessener Abschreibungen und Wertberichtigungen, jedoch ohne Bildung anderer Gewinnrücklagen, voraussichtlich als durchschnittlicher Gewinnanteil auf die einzelne Aktie verteilt werden könnte. </w:t>
      </w:r>
      <w:r>
        <w:rPr>
          <w:rStyle w:val="Satznummer"/>
        </w:rPr>
        <w:t>2</w:t>
      </w:r>
      <w:r>
        <w:t xml:space="preserve">Ist der andere Vertragsteil eine Aktiengesellschaft oder Kommanditgesellschaft auf Aktien, so kann als Ausgleichszahlung auch die Zahlung des Betrags zugesichert werden, der unter Herstellung eines angemessenen Umrechnungsverhältnisses auf Aktien der anderen Gesellschaft jeweils als Gewinnanteil entfällt. </w:t>
      </w:r>
      <w:r>
        <w:rPr>
          <w:rStyle w:val="Satznummer"/>
        </w:rPr>
        <w:t>3</w:t>
      </w:r>
      <w:r>
        <w:t>Die Angemessenheit der Umrechnung bestimmt sich nach dem Verhältnis, in dem bei einer Verschmelzung auf eine Aktie der Gesellschaft Aktien der anderen Gesellschaft zu gewähren wären.</w:t>
      </w:r>
    </w:p>
    <w:p>
      <w:r>
        <w:t xml:space="preserve">(3) </w:t>
      </w:r>
      <w:r>
        <w:rPr>
          <w:rStyle w:val="Satznummer"/>
        </w:rPr>
        <w:t>1</w:t>
      </w:r>
      <w:r>
        <w:t xml:space="preserve">Ein Vertrag, der entgegen Absatz 1 überhaupt keinen Ausgleich vorsieht, ist nichtig. </w:t>
      </w:r>
      <w:r>
        <w:rPr>
          <w:rStyle w:val="Satznummer"/>
        </w:rPr>
        <w:t>2</w:t>
      </w:r>
      <w:r>
        <w:t xml:space="preserve">Die Anfechtung des Beschlusses, durch den die Hauptversammlung der Gesellschaft dem Vertrag oder einer unter </w:t>
      </w:r>
      <w:hyperlink w:anchor="b383" w:history="1">
        <w:r>
          <w:rPr>
            <w:color w:val="0A3A8C"/>
            <w:u w:val="single"/>
          </w:rPr>
          <w:t xml:space="preserve">§ 295</w:t>
        </w:r>
      </w:hyperlink>
      <w:r>
        <w:t xml:space="preserve"> Abs. 2 fallenden Änderung des Vertrags zugestimmt hat, kann nicht auf </w:t>
      </w:r>
      <w:hyperlink w:anchor="b306" w:history="1">
        <w:r>
          <w:rPr>
            <w:color w:val="0A3A8C"/>
            <w:u w:val="single"/>
          </w:rPr>
          <w:t xml:space="preserve">§ 243</w:t>
        </w:r>
      </w:hyperlink>
      <w:r>
        <w:t xml:space="preserve"> Abs. 2 oder darauf gestützt werden, daß der im Vertrag bestimmte Ausgleich nicht angemessen ist. </w:t>
      </w:r>
      <w:r>
        <w:rPr>
          <w:rStyle w:val="Satznummer"/>
        </w:rPr>
        <w:t>3</w:t>
      </w:r>
      <w:r>
        <w:t>Ist der im Vertrag bestimmte Ausgleich nicht angemessen, so hat das in § 2 des Spruchverfahrensgesetzes bestimmte Gericht auf Antrag den vertraglich geschuldeten Ausgleich zu bestimmen, wobei es, wenn der Vertrag einen nach Absatz 2 Satz 2 berechneten Ausgleich vorsieht, den Ausgleich nach dieser Vorschrift zu bestimmen hat.</w:t>
      </w:r>
    </w:p>
    <w:p>
      <w:r>
        <w:t>(4) Bestimmt das Gericht den Ausgleich, so kann der andere Vertragsteil den Vertrag binnen zwei Monaten nach Rechtskraft der Entscheidung ohne Einhaltung einer Kündigungsfrist kündigen.</w:t>
      </w:r>
    </w:p>
    <w:p>
      <w:pPr>
        <w:pStyle w:val="Heading4"/>
      </w:pPr>
      <w:bookmarkStart w:id="396" w:name="b395"/>
      <w:r>
        <w:t>§ 305 Abfindung</w:t>
      </w:r>
      <w:r>
        <w:t xml:space="preserve"> </w:t>
      </w:r>
      <w:r>
        <w:rPr>
          <w:rStyle w:val="Suchmarke"/>
        </w:rPr>
        <w:t>#305#</w:t>
      </w:r>
      <w:bookmarkEnd w:id="396"/>
    </w:p>
    <w:p>
      <w:r>
        <w:t xml:space="preserve">(1) Außer der Verpflichtung zum Ausgleich nach </w:t>
      </w:r>
      <w:hyperlink w:anchor="b394" w:history="1">
        <w:r>
          <w:rPr>
            <w:color w:val="0A3A8C"/>
            <w:u w:val="single"/>
          </w:rPr>
          <w:t xml:space="preserve">§ 304</w:t>
        </w:r>
      </w:hyperlink>
      <w:r>
        <w:t xml:space="preserve"> muß ein Beherrschungs- oder ein Gewinnabführungsvertrag die Verpflichtung des anderen Vertragsteils enthalten, auf Verlangen eines außenstehenden Aktionärs dessen Aktien gegen eine im Vertrag bestimmte angemessene Abfindung zu erwerben.</w:t>
      </w:r>
    </w:p>
    <w:p>
      <w:r>
        <w:t>(2) Als Abfindung muß der Vertrag,</w:t>
      </w:r>
    </w:p>
    <w:p>
      <w:pPr>
        <w:tabs>
          <w:tab w:pos="567" w:val="left"/>
        </w:tabs>
        <w:ind w:left="567" w:hanging="567"/>
      </w:pPr>
      <w:r>
        <w:t>1.</w:t>
      </w:r>
      <w:r>
        <w:tab/>
      </w:r>
      <w:r>
        <w:t>wenn der andere Vertragsteil eine nicht abhängige und nicht in Mehrheitsbesitz stehende Aktiengesellschaft oder Kommanditgesellschaft auf Aktien mit Sitz in einem Mitgliedstaat der Europäischen Union oder in einem anderen Vertragsstaat des Abkommens über den Europäischen Wirtschaftsraum ist, die Gewährung eigener Aktien dieser Gesellschaft,</w:t>
      </w:r>
    </w:p>
    <w:p>
      <w:pPr>
        <w:tabs>
          <w:tab w:pos="567" w:val="left"/>
        </w:tabs>
        <w:ind w:left="567" w:hanging="567"/>
      </w:pPr>
      <w:r>
        <w:t>2.</w:t>
      </w:r>
      <w:r>
        <w:tab/>
      </w:r>
      <w:r>
        <w:t>wenn der andere Vertragsteil eine abhängige oder in Mehrheitsbesitz stehende Aktiengesellschaft oder Kommanditgesellschaft auf Aktien und das herrschende Unternehmen eine Aktiengesellschaft oder Kommanditgesellschaft auf Aktien mit Sitz in einem Mitgliedstaat der Europäischen Union oder in einem anderen Vertragsstaat des Abkommens über den Europäischen Wirtschaftsraum ist, entweder die Gewährung von Aktien der herrschenden oder mit Mehrheit beteiligten Gesellschaft oder eine Barabfindung,</w:t>
      </w:r>
    </w:p>
    <w:p>
      <w:pPr>
        <w:tabs>
          <w:tab w:pos="567" w:val="left"/>
        </w:tabs>
        <w:ind w:left="567" w:hanging="567"/>
      </w:pPr>
      <w:r>
        <w:t>3.</w:t>
      </w:r>
      <w:r>
        <w:tab/>
      </w:r>
      <w:r>
        <w:t>in allen anderen Fällen eine Barabfindung</w:t>
      </w:r>
    </w:p>
    <w:p>
      <w:r>
        <w:t>vorsehen.</w:t>
      </w:r>
    </w:p>
    <w:p>
      <w:r>
        <w:t xml:space="preserve">(3) </w:t>
      </w:r>
      <w:r>
        <w:rPr>
          <w:rStyle w:val="Satznummer"/>
        </w:rPr>
        <w:t>1</w:t>
      </w:r>
      <w:r>
        <w:t xml:space="preserve">Werden als Abfindung Aktien einer anderen Gesellschaft gewährt, so ist die Abfindung als angemessen anzusehen, wenn die Aktien in dem Verhältnis gewährt werden, in dem bei einer Verschmelzung auf eine Aktie der Gesellschaft Aktien der anderen Gesellschaft zu gewähren wären, wobei Spitzenbeträge durch bare Zuzahlungen ausgeglichen werden können. </w:t>
      </w:r>
      <w:r>
        <w:rPr>
          <w:rStyle w:val="Satznummer"/>
        </w:rPr>
        <w:t>2</w:t>
      </w:r>
      <w:r>
        <w:t xml:space="preserve">Die angemessene Barabfindung muß die Verhältnisse der Gesellschaft im Zeitpunkt der Beschlußfassung ihrer Hauptversammlung über den Vertrag berücksichtigen. </w:t>
      </w:r>
      <w:r>
        <w:rPr>
          <w:rStyle w:val="Satznummer"/>
        </w:rPr>
        <w:t>3</w:t>
      </w:r>
      <w:r>
        <w:t>Sie ist nach Ablauf des Tages, an dem der Beherrschungs- oder Gewinnabführungsvertrag wirksam geworden ist, mit jährlich 5 Prozentpunkten über dem jeweiligen Basiszinssatz nach § 247 des Bürgerlichen Gesetzbuchs zu verzinsen; die Geltendmachung eines weiteren Schadens ist nicht ausgeschlossen.</w:t>
      </w:r>
    </w:p>
    <w:p>
      <w:r>
        <w:t xml:space="preserve">(4) </w:t>
      </w:r>
      <w:r>
        <w:rPr>
          <w:rStyle w:val="Satznummer"/>
        </w:rPr>
        <w:t>1</w:t>
      </w:r>
      <w:r>
        <w:t xml:space="preserve">Die Verpflichtung zum Erwerb der Aktien kann befristet werden. </w:t>
      </w:r>
      <w:r>
        <w:rPr>
          <w:rStyle w:val="Satznummer"/>
        </w:rPr>
        <w:t>2</w:t>
      </w:r>
      <w:r>
        <w:t xml:space="preserve">Die Frist endet frühestens zwei Monate nach dem Tag, an dem die Eintragung des Bestehens des Vertrags im Handelsregister nach § 10 des Handelsgesetzbuchs bekannt gemacht worden ist. </w:t>
      </w:r>
      <w:r>
        <w:rPr>
          <w:rStyle w:val="Satznummer"/>
        </w:rPr>
        <w:t>3</w:t>
      </w:r>
      <w:r>
        <w:t>Ist ein Antrag auf Bestimmung des Ausgleichs oder der Abfindung durch das in § 2 des Spruchverfahrensgesetzes bestimmte Gericht gestellt worden, so endet die Frist frühestens zwei Monate nach dem Tag, an dem die Entscheidung über den zuletzt beschiedenen Antrag im Bundesanzeiger bekanntgemacht worden ist.</w:t>
      </w:r>
    </w:p>
    <w:p>
      <w:r>
        <w:t xml:space="preserve">(5) </w:t>
      </w:r>
      <w:r>
        <w:rPr>
          <w:rStyle w:val="Satznummer"/>
        </w:rPr>
        <w:t>1</w:t>
      </w:r>
      <w:r>
        <w:t xml:space="preserve">Die Anfechtung des Beschlusses, durch den die Hauptversammlung der Gesellschaft dem Vertrag oder einer unter </w:t>
      </w:r>
      <w:hyperlink w:anchor="b383" w:history="1">
        <w:r>
          <w:rPr>
            <w:color w:val="0A3A8C"/>
            <w:u w:val="single"/>
          </w:rPr>
          <w:t xml:space="preserve">§ 295</w:t>
        </w:r>
      </w:hyperlink>
      <w:r>
        <w:t xml:space="preserve"> Abs. 2 fallenden Änderung des Vertrags zugestimmt hat, kann nicht darauf gestützt werden, daß der Vertrag keine angemessene Abfindung vorsieht. </w:t>
      </w:r>
      <w:r>
        <w:rPr>
          <w:rStyle w:val="Satznummer"/>
        </w:rPr>
        <w:t>2</w:t>
      </w:r>
      <w:r>
        <w:t xml:space="preserve">Sieht der Vertrag überhaupt keine oder eine den Absätzen 1 bis 3 nicht entsprechende Abfindung vor, so hat das in § 2 des Spruchverfahrensgesetzes bestimmte Gericht auf Antrag die vertraglich zu gewährende Abfindung zu bestimmen. </w:t>
      </w:r>
      <w:r>
        <w:rPr>
          <w:rStyle w:val="Satznummer"/>
        </w:rPr>
        <w:t>3</w:t>
      </w:r>
      <w:r>
        <w:t xml:space="preserve">Dabei hat es in den Fällen des Absatzes 2 Nr. 2, wenn der Vertrag die Gewährung von Aktien der herrschenden oder mit Mehrheit beteiligten Gesellschaft vorsieht, das Verhältnis, in dem diese Aktien zu gewähren sind, wenn der Vertrag nicht die Gewährung von Aktien der herrschenden oder mit Mehrheit beteiligten Gesellschaft vorsieht, die angemessene Barabfindung zu bestimmen. </w:t>
      </w:r>
      <w:r>
        <w:rPr>
          <w:rStyle w:val="Satznummer"/>
        </w:rPr>
        <w:t>4</w:t>
      </w:r>
      <w:hyperlink w:anchor="b394" w:history="1">
        <w:r>
          <w:rPr>
            <w:color w:val="0A3A8C"/>
            <w:u w:val="single"/>
          </w:rPr>
          <w:t xml:space="preserve">§ 304</w:t>
        </w:r>
      </w:hyperlink>
      <w:r>
        <w:t xml:space="preserve"> Abs. 4 gilt sinngemäß.</w:t>
      </w:r>
    </w:p>
    <w:p>
      <w:pPr>
        <w:pStyle w:val="Heading4"/>
      </w:pPr>
      <w:bookmarkStart w:id="397" w:name="b396"/>
      <w:r>
        <w:t>§ 306</w:t>
      </w:r>
      <w:r>
        <w:t xml:space="preserve"> </w:t>
      </w:r>
      <w:r>
        <w:rPr>
          <w:rStyle w:val="Suchmarke"/>
        </w:rPr>
        <w:t>#306#</w:t>
      </w:r>
      <w:bookmarkEnd w:id="397"/>
    </w:p>
    <w:p>
      <w:r>
        <w:t>(weggefallen)</w:t>
      </w:r>
    </w:p>
    <w:p>
      <w:pPr>
        <w:pStyle w:val="Heading4"/>
      </w:pPr>
      <w:bookmarkStart w:id="398" w:name="b397"/>
      <w:r>
        <w:t>§ 307 Vertragsbeendigung zur Sicherung außenstehender Aktionäre</w:t>
      </w:r>
      <w:r>
        <w:t xml:space="preserve"> </w:t>
      </w:r>
      <w:r>
        <w:rPr>
          <w:rStyle w:val="Suchmarke"/>
        </w:rPr>
        <w:t>#307#</w:t>
      </w:r>
      <w:bookmarkEnd w:id="398"/>
    </w:p>
    <w:p>
      <w:r>
        <w:t>Hat die Gesellschaft im Zeitpunkt der Beschlußfassung ihrer Hauptversammlung über einen Beherrschungs- oder Gewinnabführungsvertrag keinen außenstehenden Aktionär, so endet der Vertrag spätestens zum Ende des Geschäftsjahrs, in dem ein außenstehender Aktionär beteiligt ist.</w:t>
      </w:r>
    </w:p>
    <w:p>
      <w:pPr>
        <w:pStyle w:val="Heading2"/>
      </w:pPr>
      <w:bookmarkStart w:id="399" w:name="b398"/>
      <w:r>
        <w:t>Zweiter Teil Leitungsmacht und Verantwortlichkeit bei Abhängigkeit von Unternehmen</w:t>
      </w:r>
      <w:bookmarkEnd w:id="399"/>
    </w:p>
    <w:p>
      <w:pPr>
        <w:pStyle w:val="Heading3"/>
      </w:pPr>
      <w:bookmarkStart w:id="400" w:name="b399"/>
      <w:r>
        <w:t>Erster Abschnitt Leitungsmacht und Verantwortlichkeit bei Bestehen eines Beherrschungsvertrags</w:t>
      </w:r>
      <w:bookmarkEnd w:id="400"/>
    </w:p>
    <w:p>
      <w:pPr>
        <w:pStyle w:val="Heading4"/>
      </w:pPr>
      <w:bookmarkStart w:id="401" w:name="b400"/>
      <w:r>
        <w:t>§ 308 Leitungsmacht</w:t>
      </w:r>
      <w:r>
        <w:t xml:space="preserve"> </w:t>
      </w:r>
      <w:r>
        <w:rPr>
          <w:rStyle w:val="Suchmarke"/>
        </w:rPr>
        <w:t>#308#</w:t>
      </w:r>
      <w:bookmarkEnd w:id="401"/>
    </w:p>
    <w:p>
      <w:r>
        <w:t xml:space="preserve">(1) </w:t>
      </w:r>
      <w:r>
        <w:rPr>
          <w:rStyle w:val="Satznummer"/>
        </w:rPr>
        <w:t>1</w:t>
      </w:r>
      <w:r>
        <w:t xml:space="preserve">Besteht ein Beherrschungsvertrag, so ist das herrschende Unternehmen berechtigt, dem Vorstand der Gesellschaft hinsichtlich der Leitung der Gesellschaft Weisungen zu erteilen. </w:t>
      </w:r>
      <w:r>
        <w:rPr>
          <w:rStyle w:val="Satznummer"/>
        </w:rPr>
        <w:t>2</w:t>
      </w:r>
      <w:r>
        <w:t>Bestimmt der Vertrag nichts anderes, so können auch Weisungen erteilt werden, die für die Gesellschaft nachteilig sind, wenn sie den Belangen des herrschenden Unternehmens oder der mit ihm und der Gesellschaft konzernverbundenen Unternehmen dienen.</w:t>
      </w:r>
    </w:p>
    <w:p>
      <w:r>
        <w:t xml:space="preserve">(2) </w:t>
      </w:r>
      <w:r>
        <w:rPr>
          <w:rStyle w:val="Satznummer"/>
        </w:rPr>
        <w:t>1</w:t>
      </w:r>
      <w:r>
        <w:t xml:space="preserve">Der Vorstand ist verpflichtet, die Weisungen des herrschenden Unternehmens zu befolgen. </w:t>
      </w:r>
      <w:r>
        <w:rPr>
          <w:rStyle w:val="Satznummer"/>
        </w:rPr>
        <w:t>2</w:t>
      </w:r>
      <w:r>
        <w:t>Er ist nicht berechtigt, die Befolgung einer Weisung zu verweigern, weil sie nach seiner Ansicht nicht den Belangen des herrschenden Unternehmens oder der mit ihm und der Gesellschaft konzernverbundenen Unternehmen dient, es sei denn, daß sie offensichtlich nicht diesen Belangen dient.</w:t>
      </w:r>
    </w:p>
    <w:p>
      <w:r>
        <w:t xml:space="preserve">(3) </w:t>
      </w:r>
      <w:r>
        <w:rPr>
          <w:rStyle w:val="Satznummer"/>
        </w:rPr>
        <w:t>1</w:t>
      </w:r>
      <w:r>
        <w:t xml:space="preserve">Wird der Vorstand angewiesen, ein Geschäft vorzunehmen, das nur mit Zustimmung des Aufsichtsrats der Gesellschaft vorgenommen werden darf, und wird diese Zustimmung nicht innerhalb einer angemessenen Frist erteilt, so hat der Vorstand dies dem herrschenden Unternehmen mitzuteilen. </w:t>
      </w:r>
      <w:r>
        <w:rPr>
          <w:rStyle w:val="Satznummer"/>
        </w:rPr>
        <w:t>2</w:t>
      </w:r>
      <w:r>
        <w:t>Wiederholt das herrschende Unternehmen nach dieser Mitteilung die Weisung, so ist die Zustimmung des Aufsichtsrats nicht mehr erforderlich; die Weisung darf, wenn das herrschende Unternehmen einen Aufsichtsrat hat, nur mit dessen Zustimmung wiederholt werden.</w:t>
      </w:r>
    </w:p>
    <w:p>
      <w:pPr>
        <w:pStyle w:val="Heading4"/>
      </w:pPr>
      <w:bookmarkStart w:id="402" w:name="b401"/>
      <w:r>
        <w:t>§ 309 Verantwortlichkeit der gesetzlichen Vertreter des herrschenden Unternehmens</w:t>
      </w:r>
      <w:r>
        <w:t xml:space="preserve"> </w:t>
      </w:r>
      <w:r>
        <w:rPr>
          <w:rStyle w:val="Suchmarke"/>
        </w:rPr>
        <w:t>#309#</w:t>
      </w:r>
      <w:bookmarkEnd w:id="402"/>
    </w:p>
    <w:p>
      <w:r>
        <w:t>(1) Besteht ein Beherrschungsvertrag, so haben die gesetzlichen Vertreter (beim Einzelkaufmann der Inhaber) des herrschenden Unternehmens gegenüber der Gesellschaft bei der Erteilung von Weisungen an diese die Sorgfalt eines ordentlichen und gewissenhaften Geschäftsleiters anzuwenden.</w:t>
      </w:r>
    </w:p>
    <w:p>
      <w:r>
        <w:t xml:space="preserve">(2) </w:t>
      </w:r>
      <w:r>
        <w:rPr>
          <w:rStyle w:val="Satznummer"/>
        </w:rPr>
        <w:t>1</w:t>
      </w:r>
      <w:r>
        <w:t xml:space="preserve">Verletzen sie ihre Pflichten, so sind sie der Gesellschaft zum Ersatz des daraus entstehenden Schadens als Gesamtschuldner verpflichtet. </w:t>
      </w:r>
      <w:r>
        <w:rPr>
          <w:rStyle w:val="Satznummer"/>
        </w:rPr>
        <w:t>2</w:t>
      </w:r>
      <w:r>
        <w:t>Ist streitig, ob sie die Sorgfalt eines ordentlichen und gewissenhaften Geschäftsleiters angewandt haben, so trifft sie die Beweislast.</w:t>
      </w:r>
    </w:p>
    <w:p>
      <w:r>
        <w:t xml:space="preserve">(3) </w:t>
      </w:r>
      <w:r>
        <w:rPr>
          <w:rStyle w:val="Satznummer"/>
        </w:rPr>
        <w:t>1</w:t>
      </w:r>
      <w:r>
        <w:t xml:space="preserve">Die Gesellschaft kann erst drei Jahre nach der Entstehung des Anspruchs und nur dann auf Ersatzansprüche verzichten oder sich über sie vergleichen, wenn die außenstehenden Aktionäre durch Sonderbeschluß zustimmen und nicht eine Minderheit, deren Anteile zusammen den zehnten Teil des bei der Beschlußfassung vertretenen Grundkapitals erreichen, zur Niederschrift Widerspruch erhebt. </w:t>
      </w:r>
      <w:r>
        <w:rPr>
          <w:rStyle w:val="Satznummer"/>
        </w:rPr>
        <w:t>2</w:t>
      </w:r>
      <w:r>
        <w:t>Die zeitliche Beschränkung gilt nicht, wenn der Ersatzpflichtige zahlungsunfähig ist und sich zur Abwendung des Insolvenzverfahrens mit seinen Gläubigern vergleicht oder wenn die Ersatzpflicht in einem Insolvenzplan geregelt wird.</w:t>
      </w:r>
    </w:p>
    <w:p>
      <w:r>
        <w:t xml:space="preserve">(4) </w:t>
      </w:r>
      <w:r>
        <w:rPr>
          <w:rStyle w:val="Satznummer"/>
        </w:rPr>
        <w:t>1</w:t>
      </w:r>
      <w:r>
        <w:t xml:space="preserve">Der Ersatzanspruch der Gesellschaft kann auch von jedem Aktionär geltend gemacht werden. </w:t>
      </w:r>
      <w:r>
        <w:rPr>
          <w:rStyle w:val="Satznummer"/>
        </w:rPr>
        <w:t>2</w:t>
      </w:r>
      <w:r>
        <w:t xml:space="preserve">Der Aktionär kann jedoch nur Leistung an die Gesellschaft fordern. </w:t>
      </w:r>
      <w:r>
        <w:rPr>
          <w:rStyle w:val="Satznummer"/>
        </w:rPr>
        <w:t>3</w:t>
      </w:r>
      <w:r>
        <w:t xml:space="preserve">Der Ersatzanspruch kann ferner von den Gläubigern der Gesellschaft geltend gemacht werden, soweit sie von dieser keine Befriedigung erlangen können. </w:t>
      </w:r>
      <w:r>
        <w:rPr>
          <w:rStyle w:val="Satznummer"/>
        </w:rPr>
        <w:t>4</w:t>
      </w:r>
      <w:r>
        <w:t xml:space="preserve">Den Gläubigern gegenüber wird die Ersatzpflicht durch einen Verzicht oder Vergleich der Gesellschaft nicht ausgeschlossen. </w:t>
      </w:r>
      <w:r>
        <w:rPr>
          <w:rStyle w:val="Satznummer"/>
        </w:rPr>
        <w:t>5</w:t>
      </w:r>
      <w:r>
        <w:t>Ist über das Vermögen der Gesellschaft das Insolvenzverfahren eröffnet, so übt während dessen Dauer der Insolvenzverwalter oder der Sachwalter das Recht der Aktionäre und Gläubiger, den Ersatzanspruch der Gesellschaft geltend zu machen, aus.</w:t>
      </w:r>
    </w:p>
    <w:p>
      <w:r>
        <w:t>(5) Die Ansprüche aus diesen Vorschriften verjähren in fünf Jahren.</w:t>
      </w:r>
    </w:p>
    <w:p>
      <w:pPr>
        <w:pStyle w:val="Heading4"/>
      </w:pPr>
      <w:bookmarkStart w:id="403" w:name="b402"/>
      <w:r>
        <w:t>§ 310 Verantwortlichkeit der Verwaltungsmitglieder der Gesellschaft</w:t>
      </w:r>
      <w:r>
        <w:t xml:space="preserve"> </w:t>
      </w:r>
      <w:r>
        <w:rPr>
          <w:rStyle w:val="Suchmarke"/>
        </w:rPr>
        <w:t>#310#</w:t>
      </w:r>
      <w:bookmarkEnd w:id="403"/>
    </w:p>
    <w:p>
      <w:r>
        <w:t xml:space="preserve">(1) </w:t>
      </w:r>
      <w:r>
        <w:rPr>
          <w:rStyle w:val="Satznummer"/>
        </w:rPr>
        <w:t>1</w:t>
      </w:r>
      <w:r>
        <w:t xml:space="preserve">Die Mitglieder des Vorstands und des Aufsichtsrats der Gesellschaft haften neben dem Ersatzpflichtigen nach </w:t>
      </w:r>
      <w:hyperlink w:anchor="b401" w:history="1">
        <w:r>
          <w:rPr>
            <w:color w:val="0A3A8C"/>
            <w:u w:val="single"/>
          </w:rPr>
          <w:t xml:space="preserve">§ 309</w:t>
        </w:r>
      </w:hyperlink>
      <w:r>
        <w:t xml:space="preserve"> als Gesamtschuldner, wenn sie unter Verletzung ihrer Pflichten gehandelt haben. </w:t>
      </w:r>
      <w:r>
        <w:rPr>
          <w:rStyle w:val="Satznummer"/>
        </w:rPr>
        <w:t>2</w:t>
      </w:r>
      <w:r>
        <w:t>Ist streitig, ob sie die Sorgfalt eines ordentlichen und gewissenhaften Geschäftsleiters angewandt haben, so trifft sie die Beweislast.</w:t>
      </w:r>
    </w:p>
    <w:p>
      <w:r>
        <w:t>(2) Dadurch, daß der Aufsichtsrat die Handlung gebilligt hat, wird die Ersatzpflicht nicht ausgeschlossen.</w:t>
      </w:r>
    </w:p>
    <w:p>
      <w:r>
        <w:t xml:space="preserve">(3) Eine Ersatzpflicht der Verwaltungsmitglieder der Gesellschaft besteht nicht, wenn die schädigende Handlung auf einer Weisung beruht, die nach </w:t>
      </w:r>
      <w:hyperlink w:anchor="b400" w:history="1">
        <w:r>
          <w:rPr>
            <w:color w:val="0A3A8C"/>
            <w:u w:val="single"/>
          </w:rPr>
          <w:t xml:space="preserve">§ 308</w:t>
        </w:r>
      </w:hyperlink>
      <w:r>
        <w:t xml:space="preserve"> Abs. 2 zu befolgen war.</w:t>
      </w:r>
    </w:p>
    <w:p>
      <w:r>
        <w:t xml:space="preserve">(4) </w:t>
      </w:r>
      <w:hyperlink w:anchor="b401" w:history="1">
        <w:r>
          <w:rPr>
            <w:color w:val="0A3A8C"/>
            <w:u w:val="single"/>
          </w:rPr>
          <w:t xml:space="preserve">§ 309</w:t>
        </w:r>
      </w:hyperlink>
      <w:r>
        <w:t xml:space="preserve"> Abs. 3 bis 5 ist anzuwenden.</w:t>
      </w:r>
    </w:p>
    <w:p>
      <w:pPr>
        <w:pStyle w:val="Heading3"/>
      </w:pPr>
      <w:bookmarkStart w:id="404" w:name="b403"/>
      <w:r>
        <w:t>Zweiter Abschnitt Verantwortlichkeit bei Fehlen eines Beherrschungsvertrags</w:t>
      </w:r>
      <w:bookmarkEnd w:id="404"/>
    </w:p>
    <w:p>
      <w:pPr>
        <w:pStyle w:val="Heading4"/>
      </w:pPr>
      <w:bookmarkStart w:id="405" w:name="b404"/>
      <w:r>
        <w:t>§ 311 Schranken des Einflusses</w:t>
      </w:r>
      <w:r>
        <w:t xml:space="preserve"> </w:t>
      </w:r>
      <w:r>
        <w:rPr>
          <w:rStyle w:val="Suchmarke"/>
        </w:rPr>
        <w:t>#311#</w:t>
      </w:r>
      <w:bookmarkEnd w:id="405"/>
    </w:p>
    <w:p>
      <w:r>
        <w:t>(1) Besteht kein Beherrschungsvertrag, so darf ein herrschendes Unternehmen seinen Einfluß nicht dazu benutzen, eine abhängige Aktiengesellschaft oder Kommanditgesellschaft auf Aktien zu veranlassen, ein für sie nachteiliges Rechtsgeschäft vorzunehmen oder Maßnahmen zu ihrem Nachteil zu treffen oder zu unterlassen, es sei denn, daß die Nachteile ausgeglichen werden.</w:t>
      </w:r>
    </w:p>
    <w:p>
      <w:r>
        <w:t xml:space="preserve">(2) </w:t>
      </w:r>
      <w:r>
        <w:rPr>
          <w:rStyle w:val="Satznummer"/>
        </w:rPr>
        <w:t>1</w:t>
      </w:r>
      <w:r>
        <w:t xml:space="preserve">Ist der Ausgleich nicht während des Geschäftsjahrs tatsächlich erfolgt, so muß spätestens am Ende des Geschäftsjahrs, in dem der abhängigen Gesellschaft der Nachteil zugefügt worden ist, bestimmt werden, wann und durch welche Vorteile der Nachteil ausgeglichen werden soll. </w:t>
      </w:r>
      <w:r>
        <w:rPr>
          <w:rStyle w:val="Satznummer"/>
        </w:rPr>
        <w:t>2</w:t>
      </w:r>
      <w:r>
        <w:t>Auf die zum Ausgleich bestimmten Vorteile ist der abhängigen Gesellschaft ein Rechtsanspruch zu gewähren.</w:t>
      </w:r>
    </w:p>
    <w:p>
      <w:r>
        <w:t xml:space="preserve">(3) Die </w:t>
      </w:r>
      <w:hyperlink w:anchor="b134" w:history="1">
        <w:r>
          <w:rPr>
            <w:color w:val="0A3A8C"/>
            <w:u w:val="single"/>
          </w:rPr>
          <w:t xml:space="preserve">§§ 111a</w:t>
        </w:r>
      </w:hyperlink>
      <w:r>
        <w:t xml:space="preserve"> bis </w:t>
      </w:r>
      <w:hyperlink w:anchor="b136" w:history="1">
        <w:r>
          <w:rPr>
            <w:color w:val="0A3A8C"/>
            <w:u w:val="single"/>
          </w:rPr>
          <w:t xml:space="preserve">111c</w:t>
        </w:r>
      </w:hyperlink>
      <w:r>
        <w:t xml:space="preserve"> bleiben unberührt.</w:t>
      </w:r>
    </w:p>
    <w:p>
      <w:pPr>
        <w:pStyle w:val="Heading4"/>
      </w:pPr>
      <w:bookmarkStart w:id="406" w:name="b405"/>
      <w:r>
        <w:t>§ 312 Bericht des Vorstands über Beziehungen zu verbundenen Unternehmen</w:t>
      </w:r>
      <w:r>
        <w:t xml:space="preserve"> </w:t>
      </w:r>
      <w:r>
        <w:rPr>
          <w:rStyle w:val="Suchmarke"/>
        </w:rPr>
        <w:t>#312#</w:t>
      </w:r>
      <w:bookmarkEnd w:id="406"/>
    </w:p>
    <w:p>
      <w:r>
        <w:t xml:space="preserve">(1) </w:t>
      </w:r>
      <w:r>
        <w:rPr>
          <w:rStyle w:val="Satznummer"/>
        </w:rPr>
        <w:t>1</w:t>
      </w:r>
      <w:r>
        <w:t xml:space="preserve">Besteht kein Beherrschungsvertrag, so hat der Vorstand einer abhängigen Gesellschaft in den ersten drei Monaten des Geschäftsjahrs einen Bericht über die Beziehungen der Gesellschaft zu verbundenen Unternehmen aufzustellen. </w:t>
      </w:r>
      <w:r>
        <w:rPr>
          <w:rStyle w:val="Satznummer"/>
        </w:rPr>
        <w:t>2</w:t>
      </w:r>
      <w:r>
        <w:t xml:space="preserve">In dem Bericht sind alle Rechtsgeschäfte, welche die Gesellschaft im vergangenen Geschäftsjahr mit dem herrschenden Unternehmen oder einem mit ihm verbundenen Unternehmen oder auf Veranlassung oder im Interesse dieser Unternehmen vorgenommen hat, und alle anderen Maßnahmen, die sie auf Veranlassung oder im Interesse dieser Unternehmen im vergangenen Geschäftsjahr getroffen oder unterlassen hat, aufzuführen. </w:t>
      </w:r>
      <w:r>
        <w:rPr>
          <w:rStyle w:val="Satznummer"/>
        </w:rPr>
        <w:t>3</w:t>
      </w:r>
      <w:r>
        <w:t xml:space="preserve">Bei den Rechtsgeschäften sind Leistung und Gegenleistung, bei den Maßnahmen die Gründe der Maßnahme und deren Vorteile und Nachteile für die Gesellschaft anzugeben. </w:t>
      </w:r>
      <w:r>
        <w:rPr>
          <w:rStyle w:val="Satznummer"/>
        </w:rPr>
        <w:t>4</w:t>
      </w:r>
      <w:r>
        <w:t>Bei einem Ausgleich von Nachteilen ist im einzelnen anzugeben, wie der Ausgleich während des Geschäftsjahrs tatsächlich erfolgt ist, oder auf welche Vorteile der Gesellschaft ein Rechtsanspruch gewährt worden ist.</w:t>
      </w:r>
    </w:p>
    <w:p>
      <w:r>
        <w:t>(2) Der Bericht hat den Grundsätzen einer gewissenhaften und getreuen Rechenschaft zu entsprechen.</w:t>
      </w:r>
    </w:p>
    <w:p>
      <w:r>
        <w:t xml:space="preserve">(3) </w:t>
      </w:r>
      <w:r>
        <w:rPr>
          <w:rStyle w:val="Satznummer"/>
        </w:rPr>
        <w:t>1</w:t>
      </w:r>
      <w:r>
        <w:t xml:space="preserve">Am Schluß des Berichts hat der Vorstand zu erklären, ob die Gesellschaft nach den Umständen, die ihm in dem Zeitpunkt bekannt waren, in dem das Rechtsgeschäft vorgenommen oder die Maßnahme getroffen oder unterlassen wurde, bei jedem Rechtsgeschäft eine angemessene Gegenleistung erhielt und dadurch, daß die Maßnahme getroffen oder unterlassen wurde, nicht benachteiligt wurde. </w:t>
      </w:r>
      <w:r>
        <w:rPr>
          <w:rStyle w:val="Satznummer"/>
        </w:rPr>
        <w:t>2</w:t>
      </w:r>
      <w:r>
        <w:t xml:space="preserve">Wurde die Gesellschaft benachteiligt, so hat er außerdem zu erklären, ob die Nachteile ausgeglichen worden sind. </w:t>
      </w:r>
      <w:r>
        <w:rPr>
          <w:rStyle w:val="Satznummer"/>
        </w:rPr>
        <w:t>3</w:t>
      </w:r>
      <w:r>
        <w:t>Die Erklärung ist auch in den Lagebericht aufzunehmen.</w:t>
      </w:r>
    </w:p>
    <w:p>
      <w:pPr>
        <w:pStyle w:val="Heading4"/>
      </w:pPr>
      <w:bookmarkStart w:id="407" w:name="b406"/>
      <w:r>
        <w:t>§ 313 Prüfung durch den Abschlußprüfer</w:t>
      </w:r>
      <w:r>
        <w:t xml:space="preserve"> </w:t>
      </w:r>
      <w:r>
        <w:rPr>
          <w:rStyle w:val="Suchmarke"/>
        </w:rPr>
        <w:t>#313#</w:t>
      </w:r>
      <w:bookmarkEnd w:id="407"/>
    </w:p>
    <w:p>
      <w:r>
        <w:t xml:space="preserve">(1) </w:t>
      </w:r>
      <w:r>
        <w:rPr>
          <w:rStyle w:val="Satznummer"/>
        </w:rPr>
        <w:t>1</w:t>
      </w:r>
      <w:r>
        <w:t xml:space="preserve">Ist der Jahresabschluß durch einen Abschlußprüfer zu prüfen, so ist gleichzeitig mit dem Jahresabschluß und dem Lagebericht auch der Bericht über die Beziehungen zu verbundenen Unternehmen dem Abschlußprüfer vorzulegen. </w:t>
      </w:r>
      <w:r>
        <w:rPr>
          <w:rStyle w:val="Satznummer"/>
        </w:rPr>
        <w:t>2</w:t>
      </w:r>
      <w:r>
        <w:t>Er hat zu prüfen, ob</w:t>
      </w:r>
    </w:p>
    <w:p>
      <w:pPr>
        <w:tabs>
          <w:tab w:pos="567" w:val="left"/>
        </w:tabs>
        <w:ind w:left="567" w:hanging="567"/>
      </w:pPr>
      <w:r>
        <w:t>1.</w:t>
      </w:r>
      <w:r>
        <w:tab/>
      </w:r>
      <w:r>
        <w:t>die tatsächlichen Angaben des Berichts richtig sind,</w:t>
      </w:r>
    </w:p>
    <w:p>
      <w:pPr>
        <w:tabs>
          <w:tab w:pos="567" w:val="left"/>
        </w:tabs>
        <w:ind w:left="567" w:hanging="567"/>
      </w:pPr>
      <w:r>
        <w:t>2.</w:t>
      </w:r>
      <w:r>
        <w:tab/>
      </w:r>
      <w:r>
        <w:t>bei den im Bericht aufgeführten Rechtsgeschäften nach den Umständen, die im Zeitpunkt ihrer Vornahme bekannt waren, die Leistung der Gesellschaft nicht unangemessen hoch war; soweit sie dies war, ob die Nachteile ausgeglichen worden sind,</w:t>
      </w:r>
    </w:p>
    <w:p>
      <w:pPr>
        <w:tabs>
          <w:tab w:pos="567" w:val="left"/>
        </w:tabs>
        <w:ind w:left="567" w:hanging="567"/>
      </w:pPr>
      <w:r>
        <w:t>3.</w:t>
      </w:r>
      <w:r>
        <w:tab/>
      </w:r>
      <w:r>
        <w:t>bei den im Bericht aufgeführten Maßnahmen keine Umstände für eine wesentlich andere Beurteilung als die durch den Vorstand sprechen.</w:t>
      </w:r>
    </w:p>
    <w:p>
      <w:r>
        <w:rPr>
          <w:rStyle w:val="Satznummer"/>
        </w:rPr>
        <w:t>3</w:t>
      </w:r>
      <w:r>
        <w:t xml:space="preserve">§ 320 Abs. 1 Satz 2 und Abs. 2 Satz 1 und 2 des Handelsgesetzbuchs gilt sinngemäß. </w:t>
      </w:r>
      <w:r>
        <w:rPr>
          <w:rStyle w:val="Satznummer"/>
        </w:rPr>
        <w:t>4</w:t>
      </w:r>
      <w:r>
        <w:t>Die Rechte nach dieser Vorschrift hat der Abschlußprüfer auch gegenüber einem Konzernunternehmen sowie gegenüber einem abhängigen oder herrschenden Unternehmen.</w:t>
      </w:r>
    </w:p>
    <w:p>
      <w:r>
        <w:t xml:space="preserve">(2) </w:t>
      </w:r>
      <w:r>
        <w:rPr>
          <w:rStyle w:val="Satznummer"/>
        </w:rPr>
        <w:t>1</w:t>
      </w:r>
      <w:r>
        <w:t xml:space="preserve">Der Abschlußprüfer hat über das Ergebnis der Prüfung schriftlich zu berichten. </w:t>
      </w:r>
      <w:r>
        <w:rPr>
          <w:rStyle w:val="Satznummer"/>
        </w:rPr>
        <w:t>2</w:t>
      </w:r>
      <w:r>
        <w:t xml:space="preserve">Stellt er bei der Prüfung des Jahresabschlusses, des Lageberichts und des Berichts über die Beziehungen zu verbundenen Unternehmen fest, daß dieser Bericht unvollständig ist, so hat er auch hierüber zu berichten. </w:t>
      </w:r>
      <w:r>
        <w:rPr>
          <w:rStyle w:val="Satznummer"/>
        </w:rPr>
        <w:t>3</w:t>
      </w:r>
      <w:r>
        <w:t>Der Abschlußprüfer hat seinen Bericht zu unterzeichnen und dem Aufsichtsrat vorzulegen; dem Vorstand ist vor der Zuleitung Gelegenheit zur Stellungnahme zu geben.</w:t>
      </w:r>
    </w:p>
    <w:p>
      <w:r>
        <w:t xml:space="preserve">(3) </w:t>
      </w:r>
      <w:r>
        <w:rPr>
          <w:rStyle w:val="Satznummer"/>
        </w:rPr>
        <w:t>1</w:t>
      </w:r>
      <w:r>
        <w:t>Sind nach dem abschließenden Ergebnis der Prüfung keine Einwendungen zu erheben, so hat der Abschlußprüfer dies durch folgenden Vermerk zum Bericht über die Beziehungen zu verbundenen Unternehmen zu bestätigen:</w:t>
      </w:r>
    </w:p>
    <w:p>
      <w:pPr>
        <w:ind w:left="567"/>
      </w:pPr>
      <w:r>
        <w:t>Nach meiner/unserer pflichtmäßigen Prüfung und Beurteilung bestätige ich/bestätigen wir, daß</w:t>
      </w:r>
    </w:p>
    <w:p>
      <w:pPr>
        <w:tabs>
          <w:tab w:pos="1134" w:val="left"/>
        </w:tabs>
        <w:ind w:left="1134" w:hanging="567"/>
      </w:pPr>
      <w:r>
        <w:t>1.</w:t>
      </w:r>
      <w:r>
        <w:tab/>
      </w:r>
      <w:r>
        <w:t>die tatsächlichen Angaben des Berichts richtig sind,</w:t>
      </w:r>
    </w:p>
    <w:p>
      <w:pPr>
        <w:tabs>
          <w:tab w:pos="1134" w:val="left"/>
        </w:tabs>
        <w:ind w:left="1134" w:hanging="567"/>
      </w:pPr>
      <w:r>
        <w:t>2.</w:t>
      </w:r>
      <w:r>
        <w:tab/>
      </w:r>
      <w:r>
        <w:t>bei den im Bericht aufgeführten Rechtsgeschäften die Leistung der Gesellschaft nicht unangemessen hoch war oder Nachteile ausgeglichen worden sind,</w:t>
      </w:r>
    </w:p>
    <w:p>
      <w:pPr>
        <w:tabs>
          <w:tab w:pos="1134" w:val="left"/>
        </w:tabs>
        <w:ind w:left="1134" w:hanging="567"/>
      </w:pPr>
      <w:r>
        <w:t>3.</w:t>
      </w:r>
      <w:r>
        <w:tab/>
      </w:r>
      <w:r>
        <w:t>bei den im Bericht aufgeführten Maßnahmen keine Umstände für eine wesentlich andere Beurteilung als die durch den Vorstand sprechen.</w:t>
      </w:r>
    </w:p>
    <w:p>
      <w:r>
        <w:rPr>
          <w:rStyle w:val="Satznummer"/>
        </w:rPr>
        <w:t>2</w:t>
      </w:r>
      <w:r>
        <w:t xml:space="preserve">Führt der Bericht kein Rechtsgeschäft auf, so ist Nummer 2, führt er keine Maßnahme auf, so ist Nummer 3 des Vermerks fortzulassen. </w:t>
      </w:r>
      <w:r>
        <w:rPr>
          <w:rStyle w:val="Satznummer"/>
        </w:rPr>
        <w:t>3</w:t>
      </w:r>
      <w:r>
        <w:t>Hat der Abschlußprüfer bei keinem im Bericht aufgeführten Rechtsgeschäft festgestellt, daß die Leistung der Gesellschaft unangemessen hoch war, so ist Nummer 2 des Vermerks auf diese Bestätigung zu beschränken.</w:t>
      </w:r>
    </w:p>
    <w:p>
      <w:r>
        <w:t xml:space="preserve">(4) </w:t>
      </w:r>
      <w:r>
        <w:rPr>
          <w:rStyle w:val="Satznummer"/>
        </w:rPr>
        <w:t>1</w:t>
      </w:r>
      <w:r>
        <w:t xml:space="preserve">Sind Einwendungen zu erheben oder hat der Abschlußprüfer festgestellt, daß der Bericht über die Beziehungen zu verbundenen Unternehmen unvollständig ist, so hat er die Bestätigung einzuschränken oder zu versagen. </w:t>
      </w:r>
      <w:r>
        <w:rPr>
          <w:rStyle w:val="Satznummer"/>
        </w:rPr>
        <w:t>2</w:t>
      </w:r>
      <w:r>
        <w:t>Hat der Vorstand selbst erklärt, daß die Gesellschaft durch bestimmte Rechtsgeschäfte oder Maßnahmen benachteiligt worden ist, ohne daß die Nachteile ausgeglichen worden sind, so ist dies in dem Vermerk anzugeben und der Vermerk auf die übrigen Rechtsgeschäfte oder Maßnahmen zu beschränken.</w:t>
      </w:r>
    </w:p>
    <w:p>
      <w:r>
        <w:t xml:space="preserve">(5) </w:t>
      </w:r>
      <w:r>
        <w:rPr>
          <w:rStyle w:val="Satznummer"/>
        </w:rPr>
        <w:t>1</w:t>
      </w:r>
      <w:r>
        <w:t xml:space="preserve">Der Abschlußprüfer hat den Bestätigungsvermerk mit Angabe von Ort und Tag zu unterzeichnen. </w:t>
      </w:r>
      <w:r>
        <w:rPr>
          <w:rStyle w:val="Satznummer"/>
        </w:rPr>
        <w:t>2</w:t>
      </w:r>
      <w:r>
        <w:t>Der Bestätigungsvermerk ist auch in den Prüfungsbericht aufzunehmen.</w:t>
      </w:r>
    </w:p>
    <w:p>
      <w:pPr>
        <w:pStyle w:val="Heading4"/>
      </w:pPr>
      <w:bookmarkStart w:id="408" w:name="b407"/>
      <w:r>
        <w:t>§ 314 Prüfung durch den Aufsichtsrat</w:t>
      </w:r>
      <w:r>
        <w:t xml:space="preserve"> </w:t>
      </w:r>
      <w:r>
        <w:rPr>
          <w:rStyle w:val="Suchmarke"/>
        </w:rPr>
        <w:t>#314#</w:t>
      </w:r>
      <w:bookmarkEnd w:id="408"/>
    </w:p>
    <w:p>
      <w:r>
        <w:t xml:space="preserve">(1) </w:t>
      </w:r>
      <w:r>
        <w:rPr>
          <w:rStyle w:val="Satznummer"/>
        </w:rPr>
        <w:t>1</w:t>
      </w:r>
      <w:r>
        <w:t xml:space="preserve">Der Vorstand hat den Bericht über die Beziehungen zu verbundenen Unternehmen unverzüglich nach dessen Aufstellung dem Aufsichtsrat vorzulegen. </w:t>
      </w:r>
      <w:r>
        <w:rPr>
          <w:rStyle w:val="Satznummer"/>
        </w:rPr>
        <w:t>2</w:t>
      </w:r>
      <w:r>
        <w:t>Dieser Bericht und, wenn der Jahresabschluss durch einen Abschlussprüfer zu prüfen ist, der Prüfungsbericht des Abschlussprüfers sind auch jedem Aufsichtsratsmitglied oder, wenn der Aufsichtsrat dies beschlossen hat, den Mitgliedern eines Ausschusses zu übermitteln.</w:t>
      </w:r>
    </w:p>
    <w:p>
      <w:r>
        <w:t xml:space="preserve">(2) </w:t>
      </w:r>
      <w:r>
        <w:rPr>
          <w:rStyle w:val="Satznummer"/>
        </w:rPr>
        <w:t>1</w:t>
      </w:r>
      <w:r>
        <w:t>Der Aufsichtsrat hat den Bericht über die Beziehungen zu verbundenen Unternehmen zu prüfen und in seinem Bericht an die Hauptversammlung (</w:t>
      </w:r>
      <w:hyperlink w:anchor="b211" w:history="1">
        <w:r>
          <w:rPr>
            <w:color w:val="0A3A8C"/>
            <w:u w:val="single"/>
          </w:rPr>
          <w:t xml:space="preserve">§ 171</w:t>
        </w:r>
      </w:hyperlink>
      <w:r>
        <w:t xml:space="preserve"> Abs. 2) über das Ergebnis der Prüfung zu berichten. </w:t>
      </w:r>
      <w:r>
        <w:rPr>
          <w:rStyle w:val="Satznummer"/>
        </w:rPr>
        <w:t>2</w:t>
      </w:r>
      <w:r>
        <w:t xml:space="preserve">Ist der Jahresabschluß durch einen Abschlußprüfer zu prüfen, so hat der Aufsichtsrat in diesem Bericht ferner zu dem Ergebnis der Prüfung des Berichts über die Beziehungen zu verbundenen Unternehmen durch den Abschlußprüfer Stellung zu nehmen. </w:t>
      </w:r>
      <w:r>
        <w:rPr>
          <w:rStyle w:val="Satznummer"/>
        </w:rPr>
        <w:t>3</w:t>
      </w:r>
      <w:r>
        <w:t>Ein von dem Abschlußprüfer erteilter Bestätigungsvermerk ist in den Bericht aufzunehmen, eine Versagung des Bestätigungsvermerks ausdrücklich mitzuteilen.</w:t>
      </w:r>
    </w:p>
    <w:p>
      <w:r>
        <w:t>(3) Am Schluß des Berichts hat der Aufsichtsrat zu erklären, ob nach dem abschließenden Ergebnis seiner Prüfung Einwendungen gegen die Erklärung des Vorstands am Schluß des Berichts über die Beziehungen zu verbundenen Unternehmen zu erheben sind.</w:t>
      </w:r>
    </w:p>
    <w:p>
      <w:r>
        <w:t>(4) Ist der Jahresabschluss durch einen Abschlussprüfer zu prüfen, so hat dieser an den Verhandlungen des Aufsichtsrats oder eines Ausschusses über den Bericht über die Beziehungen zu verbundenen Unternehmen teilzunehmen und über die wesentlichen Ergebnisse seiner Prüfung zu berichten.</w:t>
      </w:r>
    </w:p>
    <w:p>
      <w:pPr>
        <w:pStyle w:val="Heading4"/>
      </w:pPr>
      <w:bookmarkStart w:id="409" w:name="b408"/>
      <w:r>
        <w:t>§ 315 Sonderprüfung</w:t>
      </w:r>
      <w:r>
        <w:t xml:space="preserve"> </w:t>
      </w:r>
      <w:r>
        <w:rPr>
          <w:rStyle w:val="Suchmarke"/>
        </w:rPr>
        <w:t>#315#</w:t>
      </w:r>
      <w:bookmarkEnd w:id="409"/>
    </w:p>
    <w:p>
      <w:r>
        <w:rPr>
          <w:rStyle w:val="Satznummer"/>
        </w:rPr>
        <w:t>1</w:t>
      </w:r>
      <w:r>
        <w:t>Auf Antrag eines Aktionärs hat das Gericht Sonderprüfer zur Prüfung der geschäftlichen Beziehungen der Gesellschaft zu dem herrschenden Unternehmen oder einem mit ihm verbundenen Unternehmen zu bestellen, wenn</w:t>
      </w:r>
    </w:p>
    <w:p>
      <w:pPr>
        <w:tabs>
          <w:tab w:pos="567" w:val="left"/>
        </w:tabs>
        <w:ind w:left="567" w:hanging="567"/>
      </w:pPr>
      <w:r>
        <w:t>1.</w:t>
      </w:r>
      <w:r>
        <w:tab/>
      </w:r>
      <w:r>
        <w:t>der Abschlußprüfer den Bestätigungsvermerk zum Bericht über die Beziehungen zu verbundenen Unternehmen eingeschränkt oder versagt hat,</w:t>
      </w:r>
    </w:p>
    <w:p>
      <w:pPr>
        <w:tabs>
          <w:tab w:pos="567" w:val="left"/>
        </w:tabs>
        <w:ind w:left="567" w:hanging="567"/>
      </w:pPr>
      <w:r>
        <w:t>2.</w:t>
      </w:r>
      <w:r>
        <w:tab/>
      </w:r>
      <w:r>
        <w:t>der Aufsichtsrat erklärt hat, daß Einwendungen gegen die Erklärung des Vorstands am Schluß des Berichts über die Beziehungen zu verbundenen Unternehmen zu erheben sind,</w:t>
      </w:r>
    </w:p>
    <w:p>
      <w:pPr>
        <w:tabs>
          <w:tab w:pos="567" w:val="left"/>
        </w:tabs>
        <w:ind w:left="567" w:hanging="567"/>
      </w:pPr>
      <w:r>
        <w:t>3.</w:t>
      </w:r>
      <w:r>
        <w:tab/>
      </w:r>
      <w:r>
        <w:t>der Vorstand selbst erklärt hat, daß die Gesellschaft durch bestimmte Rechtsgeschäfte oder Maßnahmen benachteiligt worden ist, ohne daß die Nachteile ausgeglichen worden sind.</w:t>
      </w:r>
    </w:p>
    <w:p>
      <w:r>
        <w:rPr>
          <w:rStyle w:val="Satznummer"/>
        </w:rPr>
        <w:t>2</w:t>
      </w:r>
      <w:r>
        <w:t xml:space="preserve">Liegen sonstige Tatsachen vor, die den Verdacht einer pflichtwidrigen Nachteilszufügung rechtfertigen, kann der Antrag auch von Aktionären gestellt werden, deren Anteile zusammen den Schwellenwert des </w:t>
      </w:r>
      <w:hyperlink w:anchor="b186" w:history="1">
        <w:r>
          <w:rPr>
            <w:color w:val="0A3A8C"/>
            <w:u w:val="single"/>
          </w:rPr>
          <w:t xml:space="preserve">§ 142</w:t>
        </w:r>
      </w:hyperlink>
      <w:r>
        <w:t xml:space="preserve"> Abs. 2 erreichen, wenn sie glaubhaft machen, dass sie seit mindestens drei Monaten vor dem Tage der Antragstellung Inhaber der Aktien sind. </w:t>
      </w:r>
      <w:r>
        <w:rPr>
          <w:rStyle w:val="Satznummer"/>
        </w:rPr>
        <w:t>3</w:t>
      </w:r>
      <w:r>
        <w:t xml:space="preserve">Über den Antrag entscheidet das Landgericht, in dessen Bezirk die Gesellschaft ihren Sitz hat. </w:t>
      </w:r>
      <w:r>
        <w:rPr>
          <w:rStyle w:val="Satznummer"/>
        </w:rPr>
        <w:t>4</w:t>
      </w:r>
      <w:hyperlink w:anchor="b186" w:history="1">
        <w:r>
          <w:rPr>
            <w:color w:val="0A3A8C"/>
            <w:u w:val="single"/>
          </w:rPr>
          <w:t xml:space="preserve">§ 142</w:t>
        </w:r>
      </w:hyperlink>
      <w:r>
        <w:t xml:space="preserve"> Abs. 8 gilt entsprechend. </w:t>
      </w:r>
      <w:r>
        <w:rPr>
          <w:rStyle w:val="Satznummer"/>
        </w:rPr>
        <w:t>5</w:t>
      </w:r>
      <w:r>
        <w:t xml:space="preserve">Gegen die Entscheidung ist die Beschwerde zulässig. </w:t>
      </w:r>
      <w:r>
        <w:rPr>
          <w:rStyle w:val="Satznummer"/>
        </w:rPr>
        <w:t>6</w:t>
      </w:r>
      <w:r>
        <w:t xml:space="preserve">Hat die Hauptversammlung zur Prüfung derselben Vorgänge Sonderprüfer bestellt, so kann jeder Aktionär den Antrag nach </w:t>
      </w:r>
      <w:hyperlink w:anchor="b186" w:history="1">
        <w:r>
          <w:rPr>
            <w:color w:val="0A3A8C"/>
            <w:u w:val="single"/>
          </w:rPr>
          <w:t xml:space="preserve">§ 142</w:t>
        </w:r>
      </w:hyperlink>
      <w:r>
        <w:t xml:space="preserve"> Abs. 4 stellen.</w:t>
      </w:r>
    </w:p>
    <w:p>
      <w:pPr>
        <w:pStyle w:val="Heading4"/>
      </w:pPr>
      <w:bookmarkStart w:id="410" w:name="b409"/>
      <w:r>
        <w:t>§ 316 Kein Bericht über Beziehungen zu verbundenen Unternehmen bei Gewinnabführungsvertrag</w:t>
      </w:r>
      <w:r>
        <w:t xml:space="preserve"> </w:t>
      </w:r>
      <w:r>
        <w:rPr>
          <w:rStyle w:val="Suchmarke"/>
        </w:rPr>
        <w:t>#316#</w:t>
      </w:r>
      <w:bookmarkEnd w:id="410"/>
    </w:p>
    <w:p>
      <w:hyperlink w:anchor="b405" w:history="1">
        <w:r>
          <w:rPr>
            <w:color w:val="0A3A8C"/>
            <w:u w:val="single"/>
          </w:rPr>
          <w:t xml:space="preserve">§§ 312</w:t>
        </w:r>
      </w:hyperlink>
      <w:r>
        <w:t xml:space="preserve"> bis </w:t>
      </w:r>
      <w:hyperlink w:anchor="b408" w:history="1">
        <w:r>
          <w:rPr>
            <w:color w:val="0A3A8C"/>
            <w:u w:val="single"/>
          </w:rPr>
          <w:t xml:space="preserve">315</w:t>
        </w:r>
      </w:hyperlink>
      <w:r>
        <w:t xml:space="preserve"> gelten nicht, wenn zwischen der abhängigen Gesellschaft und dem herrschenden Unternehmen ein Gewinnabführungsvertrag besteht.</w:t>
      </w:r>
    </w:p>
    <w:p>
      <w:pPr>
        <w:pStyle w:val="Heading4"/>
      </w:pPr>
      <w:bookmarkStart w:id="411" w:name="b410"/>
      <w:r>
        <w:t>§ 317 Verantwortlichkeit des herrschenden Unternehmens und seiner gesetzlichen Vertreter</w:t>
      </w:r>
      <w:r>
        <w:t xml:space="preserve"> </w:t>
      </w:r>
      <w:r>
        <w:rPr>
          <w:rStyle w:val="Suchmarke"/>
        </w:rPr>
        <w:t>#317#</w:t>
      </w:r>
      <w:bookmarkEnd w:id="411"/>
    </w:p>
    <w:p>
      <w:r>
        <w:t xml:space="preserve">(1) </w:t>
      </w:r>
      <w:r>
        <w:rPr>
          <w:rStyle w:val="Satznummer"/>
        </w:rPr>
        <w:t>1</w:t>
      </w:r>
      <w:r>
        <w:t xml:space="preserve">Veranlaßt ein herrschendes Unternehmen eine abhängige Gesellschaft, mit der kein Beherrschungsvertrag besteht, ein für sie nachteiliges Rechtsgeschäft vorzunehmen oder zu ihrem Nachteil eine Maßnahme zu treffen oder zu unterlassen, ohne daß es den Nachteil bis zum Ende des Geschäftsjahrs tatsächlich ausgleicht oder der abhängigen Gesellschaft einen Rechtsanspruch auf einen zum Ausgleich bestimmten Vorteil gewährt, so ist es der Gesellschaft zum Ersatz des ihr daraus entstehenden Schadens verpflichtet. </w:t>
      </w:r>
      <w:r>
        <w:rPr>
          <w:rStyle w:val="Satznummer"/>
        </w:rPr>
        <w:t>2</w:t>
      </w:r>
      <w:r>
        <w:t>Es ist auch den Aktionären zum Ersatz des ihnen daraus entstehenden Schadens verpflichtet, soweit sie, abgesehen von einem Schaden, der ihnen durch Schädigung der Gesellschaft zugefügt worden ist, geschädigt worden sind.</w:t>
      </w:r>
    </w:p>
    <w:p>
      <w:r>
        <w:t>(2) Die Ersatzpflicht tritt nicht ein, wenn auch ein ordentlicher und gewissenhafter Geschäftsleiter einer unabhängigen Gesellschaft das Rechtsgeschäft vorgenommen oder die Maßnahme getroffen oder unterlassen hätte.</w:t>
      </w:r>
    </w:p>
    <w:p>
      <w:r>
        <w:t>(3) Neben dem herrschenden Unternehmen haften als Gesamtschuldner die gesetzlichen Vertreter des Unternehmens, die die Gesellschaft zu dem Rechtsgeschäft oder der Maßnahme veranlaßt haben.</w:t>
      </w:r>
    </w:p>
    <w:p>
      <w:r>
        <w:t xml:space="preserve">(4) </w:t>
      </w:r>
      <w:hyperlink w:anchor="b401" w:history="1">
        <w:r>
          <w:rPr>
            <w:color w:val="0A3A8C"/>
            <w:u w:val="single"/>
          </w:rPr>
          <w:t xml:space="preserve">§ 309</w:t>
        </w:r>
      </w:hyperlink>
      <w:r>
        <w:t xml:space="preserve"> Abs. 3 bis 5 gilt sinngemäß.</w:t>
      </w:r>
    </w:p>
    <w:p>
      <w:pPr>
        <w:pStyle w:val="Heading4"/>
      </w:pPr>
      <w:bookmarkStart w:id="412" w:name="b411"/>
      <w:r>
        <w:t>§ 318 Verantwortlichkeit der Verwaltungsmitglieder der Gesellschaft</w:t>
      </w:r>
      <w:r>
        <w:t xml:space="preserve"> </w:t>
      </w:r>
      <w:r>
        <w:rPr>
          <w:rStyle w:val="Suchmarke"/>
        </w:rPr>
        <w:t>#318#</w:t>
      </w:r>
      <w:bookmarkEnd w:id="412"/>
    </w:p>
    <w:p>
      <w:r>
        <w:t xml:space="preserve">(1) </w:t>
      </w:r>
      <w:r>
        <w:rPr>
          <w:rStyle w:val="Satznummer"/>
        </w:rPr>
        <w:t>1</w:t>
      </w:r>
      <w:r>
        <w:t xml:space="preserve">Die Mitglieder des Vorstands der Gesellschaft haften neben den nach § 317 Ersatzpflichtigen als Gesamtschuldner, wenn sie es unter Verletzung ihrer Pflichten unterlassen haben, das nachteilige Rechtsgeschäft oder die nachteilige Maßnahme in dem Bericht über die Beziehungen der Gesellschaft zu verbundenen Unternehmen aufzuführen oder anzugeben, daß die Gesellschaft durch das Rechtsgeschäft oder die Maßnahme benachteiligt wurde und der Nachteil nicht ausgeglichen worden war. </w:t>
      </w:r>
      <w:r>
        <w:rPr>
          <w:rStyle w:val="Satznummer"/>
        </w:rPr>
        <w:t>2</w:t>
      </w:r>
      <w:r>
        <w:t>Ist streitig, ob sie die Sorgfalt eines ordentlichen und gewissenhaften Geschäftsleiters angewandt haben, so trifft sie die Beweislast.</w:t>
      </w:r>
    </w:p>
    <w:p>
      <w:r>
        <w:t>(2) Die Mitglieder des Aufsichtsrats der Gesellschaft haften neben den nach § 317 Ersatzpflichtigen als Gesamtschuldner, wenn sie hinsichtlich des nachteiligen Rechtsgeschäfts oder der nachteiligen Maßnahme ihre Pflicht, den Bericht über die Beziehungen zu verbundenen Unternehmen zu prüfen und über das Ergebnis der Prüfung an die Hauptversammlung zu berichten (</w:t>
      </w:r>
      <w:hyperlink w:anchor="b407" w:history="1">
        <w:r>
          <w:rPr>
            <w:color w:val="0A3A8C"/>
            <w:u w:val="single"/>
          </w:rPr>
          <w:t xml:space="preserve">§ 314</w:t>
        </w:r>
      </w:hyperlink>
      <w:r>
        <w:t>), verletzt haben; Absatz 1 Satz 2 gilt sinngemäß.</w:t>
      </w:r>
    </w:p>
    <w:p>
      <w:r>
        <w:t>(3) Der Gesellschaft und auch den Aktionären gegenüber tritt die Ersatzpflicht nicht ein, wenn die Handlung auf einem gesetzmäßigen Beschluß der Hauptversammlung beruht.</w:t>
      </w:r>
    </w:p>
    <w:p>
      <w:r>
        <w:t xml:space="preserve">(4) </w:t>
      </w:r>
      <w:hyperlink w:anchor="b401" w:history="1">
        <w:r>
          <w:rPr>
            <w:color w:val="0A3A8C"/>
            <w:u w:val="single"/>
          </w:rPr>
          <w:t xml:space="preserve">§ 309</w:t>
        </w:r>
      </w:hyperlink>
      <w:r>
        <w:t xml:space="preserve"> Abs. 3 bis 5 gilt sinngemäß.</w:t>
      </w:r>
    </w:p>
    <w:p>
      <w:pPr>
        <w:pStyle w:val="Heading2"/>
      </w:pPr>
      <w:bookmarkStart w:id="413" w:name="b412"/>
      <w:r>
        <w:t>Dritter Teil Eingegliederte Gesellschaften</w:t>
      </w:r>
      <w:bookmarkEnd w:id="413"/>
    </w:p>
    <w:p>
      <w:pPr>
        <w:pStyle w:val="Heading3"/>
      </w:pPr>
      <w:bookmarkStart w:id="414" w:name="b413"/>
      <w:r>
        <w:t>§ 319 Eingliederung</w:t>
      </w:r>
      <w:r>
        <w:t xml:space="preserve"> </w:t>
      </w:r>
      <w:r>
        <w:rPr>
          <w:rStyle w:val="Suchmarke"/>
        </w:rPr>
        <w:t>#319#</w:t>
      </w:r>
      <w:bookmarkEnd w:id="414"/>
    </w:p>
    <w:p>
      <w:r>
        <w:t xml:space="preserve">(1) </w:t>
      </w:r>
      <w:r>
        <w:rPr>
          <w:rStyle w:val="Satznummer"/>
        </w:rPr>
        <w:t>1</w:t>
      </w:r>
      <w:r>
        <w:t xml:space="preserve">Die Hauptversammlung einer Aktiengesellschaft kann die Eingliederung der Gesellschaft in eine andere Aktiengesellschaft mit Sitz im Inland (Hauptgesellschaft) beschließen, wenn sich alle Aktien der Gesellschaft in der Hand der zukünftigen Hauptgesellschaft befinden. </w:t>
      </w:r>
      <w:r>
        <w:rPr>
          <w:rStyle w:val="Satznummer"/>
        </w:rPr>
        <w:t>2</w:t>
      </w:r>
      <w:r>
        <w:t>Auf den Beschluß sind die Bestimmungen des Gesetzes und der Satzung über Satzungsänderungen nicht anzuwenden.</w:t>
      </w:r>
    </w:p>
    <w:p>
      <w:r>
        <w:t xml:space="preserve">(2) </w:t>
      </w:r>
      <w:r>
        <w:rPr>
          <w:rStyle w:val="Satznummer"/>
        </w:rPr>
        <w:t>1</w:t>
      </w:r>
      <w:r>
        <w:t xml:space="preserve">Der Beschluß über die Eingliederung wird nur wirksam, wenn die Hauptversammlung der zukünftigen Hauptgesellschaft zustimmt. </w:t>
      </w:r>
      <w:r>
        <w:rPr>
          <w:rStyle w:val="Satznummer"/>
        </w:rPr>
        <w:t>2</w:t>
      </w:r>
      <w:r>
        <w:t xml:space="preserve">Der Beschluß über die Zustimmung bedarf einer Mehrheit, die mindestens drei Viertel des bei der Beschlußfassung vertretenen Grundkapitals umfaßt. </w:t>
      </w:r>
      <w:r>
        <w:rPr>
          <w:rStyle w:val="Satznummer"/>
        </w:rPr>
        <w:t>3</w:t>
      </w:r>
      <w:r>
        <w:t xml:space="preserve">Die Satzung kann eine größere Kapitalmehrheit und weitere Erfordernisse bestimmen. </w:t>
      </w:r>
      <w:r>
        <w:rPr>
          <w:rStyle w:val="Satznummer"/>
        </w:rPr>
        <w:t>4</w:t>
      </w:r>
      <w:r>
        <w:t>Absatz 1 Satz 2 ist anzuwenden.</w:t>
      </w:r>
    </w:p>
    <w:p>
      <w:r>
        <w:t xml:space="preserve">(3) </w:t>
      </w:r>
      <w:r>
        <w:rPr>
          <w:rStyle w:val="Satznummer"/>
        </w:rPr>
        <w:t>1</w:t>
      </w:r>
      <w:r>
        <w:t>Von der Einberufung der Hauptversammlung der zukünftigen Hauptgesellschaft an, die über die Zustimmung zur Eingliederung beschließen soll, sind in dem Geschäftsraum dieser Gesellschaft zur Einsicht der Aktionäre auszulegen</w:t>
      </w:r>
    </w:p>
    <w:p>
      <w:pPr>
        <w:tabs>
          <w:tab w:pos="567" w:val="left"/>
        </w:tabs>
        <w:ind w:left="567" w:hanging="567"/>
      </w:pPr>
      <w:r>
        <w:t>1.</w:t>
      </w:r>
      <w:r>
        <w:tab/>
      </w:r>
      <w:r>
        <w:t>der Entwurf des Eingliederungsbeschlusses;</w:t>
      </w:r>
    </w:p>
    <w:p>
      <w:pPr>
        <w:tabs>
          <w:tab w:pos="567" w:val="left"/>
        </w:tabs>
        <w:ind w:left="567" w:hanging="567"/>
      </w:pPr>
      <w:r>
        <w:t>2.</w:t>
      </w:r>
      <w:r>
        <w:tab/>
      </w:r>
      <w:r>
        <w:t>die Jahresabschlüsse und die Lageberichte der beteiligten Gesellschaften für die letzten drei Geschäftsjahre;</w:t>
      </w:r>
    </w:p>
    <w:p>
      <w:pPr>
        <w:tabs>
          <w:tab w:pos="567" w:val="left"/>
        </w:tabs>
        <w:ind w:left="567" w:hanging="567"/>
      </w:pPr>
      <w:r>
        <w:t>3.</w:t>
      </w:r>
      <w:r>
        <w:tab/>
      </w:r>
      <w:r>
        <w:t>ein ausführlicher schriftlicher Bericht des Vorstands der zukünftigen Hauptgesellschaft, in dem die Eingliederung rechtlich und wirtschaftlich erläutert und begründet wird (Eingliederungsbericht).</w:t>
      </w:r>
    </w:p>
    <w:p>
      <w:r>
        <w:rPr>
          <w:rStyle w:val="Satznummer"/>
        </w:rPr>
        <w:t>2</w:t>
      </w:r>
      <w:r>
        <w:t xml:space="preserve">Auf Verlangen ist jedem Aktionär der zukünftigen Hauptgesellschaft unverzüglich und kostenlos eine Abschrift der in Satz 1 bezeichneten Unterlagen zu erteilen. </w:t>
      </w:r>
      <w:r>
        <w:rPr>
          <w:rStyle w:val="Satznummer"/>
        </w:rPr>
        <w:t>3</w:t>
      </w:r>
      <w:r>
        <w:t xml:space="preserve">Die Verpflichtungen nach den Sätzen 1 und 2 entfallen, wenn die in Satz 1 bezeichneten Unterlagen für denselben Zeitraum über die Internetseite der zukünftigen Hauptgesellschaft zugänglich sind. </w:t>
      </w:r>
      <w:r>
        <w:rPr>
          <w:rStyle w:val="Satznummer"/>
        </w:rPr>
        <w:t>4</w:t>
      </w:r>
      <w:r>
        <w:t xml:space="preserve">In der Hauptversammlung sind diese Unterlagen zugänglich zu machen. </w:t>
      </w:r>
      <w:r>
        <w:rPr>
          <w:rStyle w:val="Satznummer"/>
        </w:rPr>
        <w:t>5</w:t>
      </w:r>
      <w:r>
        <w:t>Jedem Aktionär ist in der Hauptversammlung auf Verlangen Auskunft auch über alle im Zusammenhang mit der Eingliederung wesentlichen Angelegenheiten der einzugliedernden Gesellschaft zu geben.</w:t>
      </w:r>
    </w:p>
    <w:p>
      <w:r>
        <w:t xml:space="preserve">(4) </w:t>
      </w:r>
      <w:r>
        <w:rPr>
          <w:rStyle w:val="Satznummer"/>
        </w:rPr>
        <w:t>1</w:t>
      </w:r>
      <w:r>
        <w:t xml:space="preserve">Der Vorstand der einzugliedernden Gesellschaft hat die Eingliederung und die Firma der Hauptgesellschaft zur Eintragung in das Handelsregister anzumelden. </w:t>
      </w:r>
      <w:r>
        <w:rPr>
          <w:rStyle w:val="Satznummer"/>
        </w:rPr>
        <w:t>2</w:t>
      </w:r>
      <w:r>
        <w:t>Der Anmeldung sind die Niederschriften der Hauptversammlungsbeschlüsse und ihre Anlagen in Ausfertigung oder öffentlich beglaubigter Abschrift beizufügen.</w:t>
      </w:r>
    </w:p>
    <w:p>
      <w:r>
        <w:t xml:space="preserve">(5) </w:t>
      </w:r>
      <w:r>
        <w:rPr>
          <w:rStyle w:val="Satznummer"/>
        </w:rPr>
        <w:t>1</w:t>
      </w:r>
      <w:r>
        <w:t xml:space="preserve">Bei der Anmeldung nach Absatz 4 hat der Vorstand zu erklären, daß eine Klage gegen die Wirksamkeit eines Hauptversammlungsbeschlusses nicht oder nicht fristgemäß erhoben oder eine solche Klage rechtskräftig abgewiesen oder zurückgenommen worden ist; hierüber hat der Vorstand dem Registergericht auch nach der Anmeldung Mitteilung zu machen. </w:t>
      </w:r>
      <w:r>
        <w:rPr>
          <w:rStyle w:val="Satznummer"/>
        </w:rPr>
        <w:t>2</w:t>
      </w:r>
      <w:r>
        <w:t>Liegt die Erklärung nicht vor, so darf die Eingliederung nicht eingetragen werden, es sei denn, daß die klageberechtigten Aktionäre durch notariell beurkundete Verzichtserklärung auf die Klage gegen die Wirksamkeit des Hauptversammlungsbeschlusses verzichten.</w:t>
      </w:r>
    </w:p>
    <w:p>
      <w:r>
        <w:t xml:space="preserve">(6) </w:t>
      </w:r>
      <w:r>
        <w:rPr>
          <w:rStyle w:val="Satznummer"/>
        </w:rPr>
        <w:t>1</w:t>
      </w:r>
      <w:r>
        <w:t xml:space="preserve">Der Erklärung nach Absatz 5 Satz 1 steht es gleich, wenn nach Erhebung einer Klage gegen die Wirksamkeit eines Hauptversammlungsbeschlusses das Gericht auf Antrag der Gesellschaft, gegen deren Hauptversammlungsbeschluß sich die Klage richtet, durch Beschluß festgestellt hat, daß die Erhebung der Klage der Eintragung nicht entgegensteht. </w:t>
      </w:r>
      <w:r>
        <w:rPr>
          <w:rStyle w:val="Satznummer"/>
        </w:rPr>
        <w:t>2</w:t>
      </w:r>
      <w:r>
        <w:t xml:space="preserve">Auf das Verfahren sind </w:t>
      </w:r>
      <w:hyperlink w:anchor="b311" w:history="1">
        <w:r>
          <w:rPr>
            <w:color w:val="0A3A8C"/>
            <w:u w:val="single"/>
          </w:rPr>
          <w:t xml:space="preserve">§ 247</w:t>
        </w:r>
      </w:hyperlink>
      <w:r>
        <w:t xml:space="preserve">, die §§ 82, 83 Abs. 1 und § 84 der Zivilprozessordnung sowie die im ersten Rechtszug für das Verfahren vor den Landgerichten geltenden Vorschriften der Zivilprozessordnung entsprechend anzuwenden, soweit nichts Abweichendes bestimmt ist. </w:t>
      </w:r>
      <w:r>
        <w:rPr>
          <w:rStyle w:val="Satznummer"/>
        </w:rPr>
        <w:t>3</w:t>
      </w:r>
      <w:r>
        <w:t>Ein Beschluss nach Satz 1 ergeht, wenn</w:t>
      </w:r>
    </w:p>
    <w:p>
      <w:pPr>
        <w:tabs>
          <w:tab w:pos="567" w:val="left"/>
        </w:tabs>
        <w:ind w:left="567" w:hanging="567"/>
      </w:pPr>
      <w:r>
        <w:t>1.</w:t>
      </w:r>
      <w:r>
        <w:tab/>
      </w:r>
      <w:r>
        <w:t>die Klage unzulässig oder offensichtlich unbegründet ist,</w:t>
      </w:r>
    </w:p>
    <w:p>
      <w:pPr>
        <w:tabs>
          <w:tab w:pos="567" w:val="left"/>
        </w:tabs>
        <w:ind w:left="567" w:hanging="567"/>
      </w:pPr>
      <w:r>
        <w:t>2.</w:t>
      </w:r>
      <w:r>
        <w:tab/>
      </w:r>
      <w:r>
        <w:t>der Kläger nicht binnen einer Woche nach Zustellung des Antrags durch Urkunden nachgewiesen hat, dass er seit Bekanntmachung der Einberufung einen anteiligen Betrag von mindestens 1 000 Euro hält oder</w:t>
      </w:r>
    </w:p>
    <w:p>
      <w:pPr>
        <w:tabs>
          <w:tab w:pos="567" w:val="left"/>
        </w:tabs>
        <w:ind w:left="567" w:hanging="567"/>
      </w:pPr>
      <w:r>
        <w:t>3.</w:t>
      </w:r>
      <w:r>
        <w:tab/>
      </w:r>
      <w:r>
        <w:t>das alsbaldige Wirksamwerden des Hauptversammlungsbeschlusses vorrangig erscheint, weil die vom Antragsteller dargelegten wesentlichen Nachteile für die Gesellschaft und ihre Aktionäre nach freier Überzeugung des Gerichts die Nachteile für den Antragsgegner überwiegen, es sei denn, es liegt eine besondere Schwere des Rechtsverstoßes vor.</w:t>
      </w:r>
    </w:p>
    <w:p>
      <w:r>
        <w:rPr>
          <w:rStyle w:val="Satznummer"/>
        </w:rPr>
        <w:t>4</w:t>
      </w:r>
      <w:r>
        <w:t xml:space="preserve">Der Beschluß kann in dringenden Fällen ohne mündliche Verhandlung ergehen. </w:t>
      </w:r>
      <w:r>
        <w:rPr>
          <w:rStyle w:val="Satznummer"/>
        </w:rPr>
        <w:t>5</w:t>
      </w:r>
      <w:r>
        <w:t xml:space="preserve">Der Beschluss soll spätestens drei Monate nach Antragstellung ergehen; Verzögerungen der Entscheidung sind durch unanfechtbaren Beschluss zu begründen. </w:t>
      </w:r>
      <w:r>
        <w:rPr>
          <w:rStyle w:val="Satznummer"/>
        </w:rPr>
        <w:t>6</w:t>
      </w:r>
      <w:r>
        <w:t xml:space="preserve">Die vorgebrachten Tatsachen, aufgrund derer der Beschluß nach Satz 3 ergehen kann, sind glaubhaft zu machen. </w:t>
      </w:r>
      <w:r>
        <w:rPr>
          <w:rStyle w:val="Satznummer"/>
        </w:rPr>
        <w:t>7</w:t>
      </w:r>
      <w:r>
        <w:t xml:space="preserve">Über den Antrag entscheidet ein Senat des Oberlandesgerichts, in dessen Bezirk die Gesellschaft ihren Sitz hat. </w:t>
      </w:r>
      <w:r>
        <w:rPr>
          <w:rStyle w:val="Satznummer"/>
        </w:rPr>
        <w:t>8</w:t>
      </w:r>
      <w:r>
        <w:t xml:space="preserve">Eine Übertragung auf den Einzelrichter ist ausgeschlossen; einer Güteverhandlung bedarf es nicht. </w:t>
      </w:r>
      <w:r>
        <w:rPr>
          <w:rStyle w:val="Satznummer"/>
        </w:rPr>
        <w:t>9</w:t>
      </w:r>
      <w:r>
        <w:t xml:space="preserve">Der Beschluss ist unanfechtbar. </w:t>
      </w:r>
      <w:r>
        <w:rPr>
          <w:rStyle w:val="Satznummer"/>
        </w:rPr>
        <w:t>10</w:t>
      </w:r>
      <w:r>
        <w:t xml:space="preserve">Erweist sich die Klage als begründet, so ist die Gesellschaft, die den Beschluß erwirkt hat, verpflichtet, dem Antragsgegner den Schaden zu ersetzen, der ihm aus einer auf dem Beschluß beruhenden Eintragung der Eingliederung entstanden ist. </w:t>
      </w:r>
      <w:r>
        <w:rPr>
          <w:rStyle w:val="Satznummer"/>
        </w:rPr>
        <w:t>11</w:t>
      </w:r>
      <w:r>
        <w:t>Nach der Eintragung lassen Mängel des Beschlusses seine Durchführung unberührt; die Beseitigung dieser Wirkung der Eintragung kann auch nicht als Schadenersatz verlangt werden.</w:t>
      </w:r>
    </w:p>
    <w:p>
      <w:r>
        <w:t>(7) Mit der Eintragung der Eingliederung in das Handelsregister des Sitzes der Gesellschaft wird die Gesellschaft in die Hauptgesellschaft eingegliedert.</w:t>
      </w:r>
    </w:p>
    <w:p>
      <w:pPr>
        <w:pStyle w:val="Heading3"/>
      </w:pPr>
      <w:bookmarkStart w:id="415" w:name="b414"/>
      <w:r>
        <w:t>§ 320 Eingliederung durch Mehrheitsbeschluß</w:t>
      </w:r>
      <w:r>
        <w:t xml:space="preserve"> </w:t>
      </w:r>
      <w:r>
        <w:rPr>
          <w:rStyle w:val="Suchmarke"/>
        </w:rPr>
        <w:t>#320#</w:t>
      </w:r>
      <w:bookmarkEnd w:id="415"/>
    </w:p>
    <w:p>
      <w:r>
        <w:t xml:space="preserve">(1) </w:t>
      </w:r>
      <w:r>
        <w:rPr>
          <w:rStyle w:val="Satznummer"/>
        </w:rPr>
        <w:t>1</w:t>
      </w:r>
      <w:r>
        <w:t xml:space="preserve">Die Hauptversammlung einer Aktiengesellschaft kann die Eingliederung der Gesellschaft in eine andere Aktiengesellschaft mit Sitz im Inland auch dann beschließen, wenn sich Aktien der Gesellschaft, auf die zusammen fünfundneunzig vom Hundert des Grundkapitals entfallen, in der Hand der zukünftigen Hauptgesellschaft befinden. </w:t>
      </w:r>
      <w:r>
        <w:rPr>
          <w:rStyle w:val="Satznummer"/>
        </w:rPr>
        <w:t>2</w:t>
      </w:r>
      <w:r>
        <w:t xml:space="preserve">Eigene Aktien und Aktien, die einem anderen für Rechnung der Gesellschaft gehören, sind vom Grundkapital abzusetzen. </w:t>
      </w:r>
      <w:r>
        <w:rPr>
          <w:rStyle w:val="Satznummer"/>
        </w:rPr>
        <w:t>3</w:t>
      </w:r>
      <w:r>
        <w:t xml:space="preserve">Für die Eingliederung gelten außer </w:t>
      </w:r>
      <w:hyperlink w:anchor="b413" w:history="1">
        <w:r>
          <w:rPr>
            <w:color w:val="0A3A8C"/>
            <w:u w:val="single"/>
          </w:rPr>
          <w:t xml:space="preserve">§ 319</w:t>
        </w:r>
      </w:hyperlink>
      <w:r>
        <w:t xml:space="preserve"> Abs. 1 Satz 2, Abs. 2 bis 7 die Absätze 2 bis 4.</w:t>
      </w:r>
    </w:p>
    <w:p>
      <w:r>
        <w:t xml:space="preserve">(2) </w:t>
      </w:r>
      <w:r>
        <w:rPr>
          <w:rStyle w:val="Satznummer"/>
        </w:rPr>
        <w:t>1</w:t>
      </w:r>
      <w:r>
        <w:t>Die Bekanntmachung der Eingliederung als Gegenstand der Tagesordnung ist nur ordnungsgemäß, wenn</w:t>
      </w:r>
    </w:p>
    <w:p>
      <w:pPr>
        <w:tabs>
          <w:tab w:pos="567" w:val="left"/>
        </w:tabs>
        <w:ind w:left="567" w:hanging="567"/>
      </w:pPr>
      <w:r>
        <w:t>1.</w:t>
      </w:r>
      <w:r>
        <w:tab/>
      </w:r>
      <w:r>
        <w:t>sie die Firma und den Sitz der zukünftigen Hauptgesellschaft enthält,</w:t>
      </w:r>
    </w:p>
    <w:p>
      <w:pPr>
        <w:tabs>
          <w:tab w:pos="567" w:val="left"/>
        </w:tabs>
        <w:ind w:left="567" w:hanging="567"/>
      </w:pPr>
      <w:r>
        <w:t>2.</w:t>
      </w:r>
      <w:r>
        <w:tab/>
      </w:r>
      <w:r>
        <w:t xml:space="preserve">ihr eine Erklärung der zukünftigen Hauptgesellschaft beigefügt ist, in der diese den ausscheidenden Aktionären als Abfindung für ihre Aktien eigene Aktien, im Falle des </w:t>
      </w:r>
      <w:hyperlink w:anchor="b416" w:history="1">
        <w:r>
          <w:rPr>
            <w:color w:val="0A3A8C"/>
            <w:u w:val="single"/>
          </w:rPr>
          <w:t xml:space="preserve">§ 320b</w:t>
        </w:r>
      </w:hyperlink>
      <w:r>
        <w:t xml:space="preserve"> Abs. 1 Satz 3 außerdem eine Barabfindung anbietet.</w:t>
      </w:r>
    </w:p>
    <w:p>
      <w:r>
        <w:rPr>
          <w:rStyle w:val="Satznummer"/>
        </w:rPr>
        <w:t>2</w:t>
      </w:r>
      <w:r>
        <w:t>Satz 1 Nr. 2 gilt auch für die Bekanntmachung der zukünftigen Hauptgesellschaft.</w:t>
      </w:r>
    </w:p>
    <w:p>
      <w:r>
        <w:t xml:space="preserve">(3) </w:t>
      </w:r>
      <w:r>
        <w:rPr>
          <w:rStyle w:val="Satznummer"/>
        </w:rPr>
        <w:t>1</w:t>
      </w:r>
      <w:r>
        <w:t xml:space="preserve">Die Eingliederung ist durch einen oder mehrere sachverständige Prüfer (Eingliederungsprüfer) zu prüfen. </w:t>
      </w:r>
      <w:r>
        <w:rPr>
          <w:rStyle w:val="Satznummer"/>
        </w:rPr>
        <w:t>2</w:t>
      </w:r>
      <w:r>
        <w:t xml:space="preserve">Diese werden auf Antrag des Vorstands der zukünftigen Hauptgesellschaft vom Gericht ausgewählt und bestellt. </w:t>
      </w:r>
      <w:r>
        <w:rPr>
          <w:rStyle w:val="Satznummer"/>
        </w:rPr>
        <w:t>3</w:t>
      </w:r>
      <w:hyperlink w:anchor="b375" w:history="1">
        <w:r>
          <w:rPr>
            <w:color w:val="0A3A8C"/>
            <w:u w:val="single"/>
          </w:rPr>
          <w:t xml:space="preserve">§ 293a</w:t>
        </w:r>
      </w:hyperlink>
      <w:r>
        <w:t xml:space="preserve"> Abs. 3, </w:t>
      </w:r>
      <w:hyperlink w:anchor="b377" w:history="1">
        <w:r>
          <w:rPr>
            <w:color w:val="0A3A8C"/>
            <w:u w:val="single"/>
          </w:rPr>
          <w:t xml:space="preserve">§§ 293c</w:t>
        </w:r>
      </w:hyperlink>
      <w:r>
        <w:t xml:space="preserve"> bis </w:t>
      </w:r>
      <w:hyperlink w:anchor="b379" w:history="1">
        <w:r>
          <w:rPr>
            <w:color w:val="0A3A8C"/>
            <w:u w:val="single"/>
          </w:rPr>
          <w:t xml:space="preserve">293e</w:t>
        </w:r>
      </w:hyperlink>
      <w:r>
        <w:t xml:space="preserve"> sind sinngemäß anzuwenden.</w:t>
      </w:r>
    </w:p>
    <w:p>
      <w:r>
        <w:t xml:space="preserve">(4) </w:t>
      </w:r>
      <w:r>
        <w:rPr>
          <w:rStyle w:val="Satznummer"/>
        </w:rPr>
        <w:t>1</w:t>
      </w:r>
      <w:r>
        <w:t xml:space="preserve">Die in </w:t>
      </w:r>
      <w:hyperlink w:anchor="b413" w:history="1">
        <w:r>
          <w:rPr>
            <w:color w:val="0A3A8C"/>
            <w:u w:val="single"/>
          </w:rPr>
          <w:t xml:space="preserve">§ 319</w:t>
        </w:r>
      </w:hyperlink>
      <w:r>
        <w:t xml:space="preserve"> Abs. 3 Satz 1 bezeichneten Unterlagen sowie der Prüfungsbericht nach Absatz 3 sind jeweils von der Einberufung der Hauptversammlung an, die über die Zustimmung zur Eingliederung beschließen soll, in dem Geschäftsraum der einzugliedernden Gesellschaft und der Hauptgesellschaft zur Einsicht der Aktionäre auszulegen. </w:t>
      </w:r>
      <w:r>
        <w:rPr>
          <w:rStyle w:val="Satznummer"/>
        </w:rPr>
        <w:t>2</w:t>
      </w:r>
      <w:r>
        <w:t xml:space="preserve">In dem Eingliederungsbericht sind auch Art und Höhe der Abfindung nach </w:t>
      </w:r>
      <w:hyperlink w:anchor="b416" w:history="1">
        <w:r>
          <w:rPr>
            <w:color w:val="0A3A8C"/>
            <w:u w:val="single"/>
          </w:rPr>
          <w:t xml:space="preserve">§ 320b</w:t>
        </w:r>
      </w:hyperlink>
      <w:r>
        <w:t xml:space="preserve"> rechtlich und wirtschaftlich zu erläutern und zu begründen; auf besondere Schwierigkeiten bei der Bewertung der beteiligten Gesellschaften sowie auf die Folgen für die Beteiligungen der Aktionäre ist hinzuweisen. </w:t>
      </w:r>
      <w:r>
        <w:rPr>
          <w:rStyle w:val="Satznummer"/>
        </w:rPr>
        <w:t>3</w:t>
      </w:r>
      <w:hyperlink w:anchor="b413" w:history="1">
        <w:r>
          <w:rPr>
            <w:color w:val="0A3A8C"/>
            <w:u w:val="single"/>
          </w:rPr>
          <w:t xml:space="preserve">§ 319</w:t>
        </w:r>
      </w:hyperlink>
      <w:r>
        <w:t xml:space="preserve"> Abs. 3 Satz 2 bis 5 gilt sinngemäß für die Aktionäre beider Gesellschaften.</w:t>
      </w:r>
    </w:p>
    <w:p>
      <w:r>
        <w:t>(5) bis (7) (weggefallen)</w:t>
      </w:r>
    </w:p>
    <w:p>
      <w:pPr>
        <w:pStyle w:val="Heading3"/>
      </w:pPr>
      <w:bookmarkStart w:id="416" w:name="b415"/>
      <w:r>
        <w:t>§ 320a Wirkungen der Eingliederung</w:t>
      </w:r>
      <w:r>
        <w:t xml:space="preserve"> </w:t>
      </w:r>
      <w:r>
        <w:rPr>
          <w:rStyle w:val="Suchmarke"/>
        </w:rPr>
        <w:t>#320a#</w:t>
      </w:r>
      <w:bookmarkEnd w:id="416"/>
    </w:p>
    <w:p>
      <w:r>
        <w:rPr>
          <w:rStyle w:val="Satznummer"/>
        </w:rPr>
        <w:t>1</w:t>
      </w:r>
      <w:r>
        <w:t xml:space="preserve">Mit der Eintragung der Eingliederung in das Handelsregister gehen alle Aktien, die sich nicht in der Hand der Hauptgesellschaft befinden, auf diese über. </w:t>
      </w:r>
      <w:r>
        <w:rPr>
          <w:rStyle w:val="Satznummer"/>
        </w:rPr>
        <w:t>2</w:t>
      </w:r>
      <w:r>
        <w:t>Sind über diese Aktien Aktienurkunden ausgegeben, so verbriefen sie bis zu ihrer Aushändigung an die Hauptgesellschaft nur den Anspruch auf Abfindung.</w:t>
      </w:r>
    </w:p>
    <w:p>
      <w:pPr>
        <w:pStyle w:val="Heading3"/>
      </w:pPr>
      <w:bookmarkStart w:id="417" w:name="b416"/>
      <w:r>
        <w:t>§ 320b Abfindung der ausgeschiedenen Aktionäre</w:t>
      </w:r>
      <w:r>
        <w:t xml:space="preserve"> </w:t>
      </w:r>
      <w:r>
        <w:rPr>
          <w:rStyle w:val="Suchmarke"/>
        </w:rPr>
        <w:t>#320b#</w:t>
      </w:r>
      <w:bookmarkEnd w:id="417"/>
    </w:p>
    <w:p>
      <w:r>
        <w:t xml:space="preserve">(1) </w:t>
      </w:r>
      <w:r>
        <w:rPr>
          <w:rStyle w:val="Satznummer"/>
        </w:rPr>
        <w:t>1</w:t>
      </w:r>
      <w:r>
        <w:t xml:space="preserve">Die ausgeschiedenen Aktionäre der eingegliederten Gesellschaft haben Anspruch auf angemessene Abfindung. </w:t>
      </w:r>
      <w:r>
        <w:rPr>
          <w:rStyle w:val="Satznummer"/>
        </w:rPr>
        <w:t>2</w:t>
      </w:r>
      <w:r>
        <w:t xml:space="preserve">Als Abfindung sind ihnen eigene Aktien der Hauptgesellschaft zu gewähren. </w:t>
      </w:r>
      <w:r>
        <w:rPr>
          <w:rStyle w:val="Satznummer"/>
        </w:rPr>
        <w:t>3</w:t>
      </w:r>
      <w:r>
        <w:t xml:space="preserve">Ist die Hauptgesellschaft eine abhängige Gesellschaft, so sind den ausgeschiedenen Aktionären nach deren Wahl eigene Aktien der Hauptgesellschaft oder eine angemessene Barabfindung zu gewähren. </w:t>
      </w:r>
      <w:r>
        <w:rPr>
          <w:rStyle w:val="Satznummer"/>
        </w:rPr>
        <w:t>4</w:t>
      </w:r>
      <w:r>
        <w:t xml:space="preserve">Werden als Abfindung Aktien der Hauptgesellschaft gewährt, so ist die Abfindung als angemessen anzusehen, wenn die Aktien in dem Verhältnis gewährt werden, in dem bei einer Verschmelzung auf eine Aktie der Gesellschaft Aktien der Hauptgesellschaft zu gewähren wären, wobei Spitzenbeträge durch bare Zuzahlungen ausgeglichen werden können. </w:t>
      </w:r>
      <w:r>
        <w:rPr>
          <w:rStyle w:val="Satznummer"/>
        </w:rPr>
        <w:t>5</w:t>
      </w:r>
      <w:r>
        <w:t xml:space="preserve">Die Barabfindung muß die Verhältnisse der Gesellschaft im Zeitpunkt der Beschlußfassung ihrer Hauptversammlung über die Eingliederung berücksichtigen. </w:t>
      </w:r>
      <w:r>
        <w:rPr>
          <w:rStyle w:val="Satznummer"/>
        </w:rPr>
        <w:t>6</w:t>
      </w:r>
      <w:r>
        <w:t>Die Barabfindung sowie bare Zuzahlungen sind von der Bekanntmachung der Eintragung der Eingliederung an mit jährlich 5 Prozentpunkten über dem jeweiligen Basiszinssatz nach § 247 des Bürgerlichen Gesetzbuchs zu verzinsen; die Geltendmachung eines weiteren Schadens ist nicht ausgeschlossen.</w:t>
      </w:r>
    </w:p>
    <w:p>
      <w:r>
        <w:t xml:space="preserve">(2) </w:t>
      </w:r>
      <w:r>
        <w:rPr>
          <w:rStyle w:val="Satznummer"/>
        </w:rPr>
        <w:t>1</w:t>
      </w:r>
      <w:r>
        <w:t xml:space="preserve">Die Anfechtung des Beschlusses, durch den die Hauptversammlung der eingegliederten Gesellschaft die Eingliederung der Gesellschaft beschlossen hat, kann nicht auf </w:t>
      </w:r>
      <w:hyperlink w:anchor="b306" w:history="1">
        <w:r>
          <w:rPr>
            <w:color w:val="0A3A8C"/>
            <w:u w:val="single"/>
          </w:rPr>
          <w:t xml:space="preserve">§ 243</w:t>
        </w:r>
      </w:hyperlink>
      <w:r>
        <w:t xml:space="preserve"> Abs. 2 oder darauf gestützt werden, daß die von der Hauptgesellschaft nach </w:t>
      </w:r>
      <w:hyperlink w:anchor="b414" w:history="1">
        <w:r>
          <w:rPr>
            <w:color w:val="0A3A8C"/>
            <w:u w:val="single"/>
          </w:rPr>
          <w:t xml:space="preserve">§ 320</w:t>
        </w:r>
      </w:hyperlink>
      <w:r>
        <w:t xml:space="preserve"> Abs. 2 Nr. 2 angebotene Abfindung nicht angemessen ist. </w:t>
      </w:r>
      <w:r>
        <w:rPr>
          <w:rStyle w:val="Satznummer"/>
        </w:rPr>
        <w:t>2</w:t>
      </w:r>
      <w:r>
        <w:t xml:space="preserve">Ist die angebotene Abfindung nicht angemessen, so hat das in § 2 des Spruchverfahrensgesetzes bestimmte Gericht auf Antrag die angemessene Abfindung zu bestimmen. </w:t>
      </w:r>
      <w:r>
        <w:rPr>
          <w:rStyle w:val="Satznummer"/>
        </w:rPr>
        <w:t>3</w:t>
      </w:r>
      <w:r>
        <w:t>Das gleiche gilt, wenn die Hauptgesellschaft eine Abfindung nicht oder nicht ordnungsgemäß angeboten hat und eine hierauf gestützte Anfechtungsklage innerhalb der Anfechtungsfrist nicht erhoben oder zurückgenommen oder rechtskräftig abgewiesen worden ist.</w:t>
      </w:r>
    </w:p>
    <w:p>
      <w:r>
        <w:t>(3) (weggefallen)</w:t>
      </w:r>
    </w:p>
    <w:p>
      <w:pPr>
        <w:pStyle w:val="Heading3"/>
      </w:pPr>
      <w:bookmarkStart w:id="418" w:name="b417"/>
      <w:r>
        <w:t>§ 321 Gläubigerschutz</w:t>
      </w:r>
      <w:r>
        <w:t xml:space="preserve"> </w:t>
      </w:r>
      <w:r>
        <w:rPr>
          <w:rStyle w:val="Suchmarke"/>
        </w:rPr>
        <w:t>#321#</w:t>
      </w:r>
      <w:bookmarkEnd w:id="418"/>
    </w:p>
    <w:p>
      <w:r>
        <w:t xml:space="preserve">(1) </w:t>
      </w:r>
      <w:r>
        <w:rPr>
          <w:rStyle w:val="Satznummer"/>
        </w:rPr>
        <w:t>1</w:t>
      </w:r>
      <w:r>
        <w:t xml:space="preserve">Den Gläubigern der eingegliederten Gesellschaft, deren Forderungen begründet worden sind, bevor die Eintragung der Eingliederung in das Handelsregister bekanntgemacht worden ist, ist, wenn sie sich binnen sechs Monaten nach der Bekanntmachung zu diesem Zweck melden, Sicherheit zu leisten, soweit sie nicht Befriedigung verlangen können. </w:t>
      </w:r>
      <w:r>
        <w:rPr>
          <w:rStyle w:val="Satznummer"/>
        </w:rPr>
        <w:t>2</w:t>
      </w:r>
      <w:r>
        <w:t>Die Gläubiger sind in einer Bekanntmachung zu der Eintragung auf dieses Recht hinzuweisen.</w:t>
      </w:r>
    </w:p>
    <w:p>
      <w:r>
        <w:t>(2) Das Recht, Sicherheitsleistung zu verlangen, steht Gläubigern nicht zu, die im Falle des Insolvenzverfahrens ein Recht auf vorzugsweise Befriedigung aus einer Deckungsmasse haben, die nach gesetzlicher Vorschrift zu ihrem Schutz errichtet und staatlich überwacht ist.</w:t>
      </w:r>
    </w:p>
    <w:p>
      <w:pPr>
        <w:pStyle w:val="Heading3"/>
      </w:pPr>
      <w:bookmarkStart w:id="419" w:name="b418"/>
      <w:r>
        <w:t>§ 322 Haftung der Hauptgesellschaft</w:t>
      </w:r>
      <w:r>
        <w:t xml:space="preserve"> </w:t>
      </w:r>
      <w:r>
        <w:rPr>
          <w:rStyle w:val="Suchmarke"/>
        </w:rPr>
        <w:t>#322#</w:t>
      </w:r>
      <w:bookmarkEnd w:id="419"/>
    </w:p>
    <w:p>
      <w:r>
        <w:t xml:space="preserve">(1) </w:t>
      </w:r>
      <w:r>
        <w:rPr>
          <w:rStyle w:val="Satznummer"/>
        </w:rPr>
        <w:t>1</w:t>
      </w:r>
      <w:r>
        <w:t xml:space="preserve">Von der Eingliederung an haftet die Hauptgesellschaft für die vor diesem Zeitpunkt begründeten Verbindlichkeiten der eingegliederten Gesellschaft den Gläubigern dieser Gesellschaft als Gesamtschuldner. </w:t>
      </w:r>
      <w:r>
        <w:rPr>
          <w:rStyle w:val="Satznummer"/>
        </w:rPr>
        <w:t>2</w:t>
      </w:r>
      <w:r>
        <w:t xml:space="preserve">Die gleiche Haftung trifft sie für alle Verbindlichkeiten der eingegliederten Gesellschaft, die nach der Eingliederung begründet werden. </w:t>
      </w:r>
      <w:r>
        <w:rPr>
          <w:rStyle w:val="Satznummer"/>
        </w:rPr>
        <w:t>3</w:t>
      </w:r>
      <w:r>
        <w:t>Eine entgegenstehende Vereinbarung ist Dritten gegenüber unwirksam.</w:t>
      </w:r>
    </w:p>
    <w:p>
      <w:r>
        <w:t>(2) Wird die Hauptgesellschaft wegen einer Verbindlichkeit der eingegliederten Gesellschaft in Anspruch genommen, so kann sie Einwendungen, die nicht in ihrer Person begründet sind, nur insoweit geltend machen, als sie von der eingegliederten Gesellschaft erhoben werden können.</w:t>
      </w:r>
    </w:p>
    <w:p>
      <w:r>
        <w:t xml:space="preserve">(3) </w:t>
      </w:r>
      <w:r>
        <w:rPr>
          <w:rStyle w:val="Satznummer"/>
        </w:rPr>
        <w:t>1</w:t>
      </w:r>
      <w:r>
        <w:t xml:space="preserve">Die Hauptgesellschaft kann die Befriedigung des Gläubigers verweigern, solange der eingegliederten Gesellschaft das Recht zusteht, das ihrer Verbindlichkeit zugrunde liegende Rechtsgeschäft anzufechten. </w:t>
      </w:r>
      <w:r>
        <w:rPr>
          <w:rStyle w:val="Satznummer"/>
        </w:rPr>
        <w:t>2</w:t>
      </w:r>
      <w:r>
        <w:t>Die gleiche Befugnis hat die Hauptgesellschaft, solange sich der Gläubiger durch Aufrechnung gegen eine fällige Forderung der eingegliederten Gesellschaft befriedigen kann.</w:t>
      </w:r>
    </w:p>
    <w:p>
      <w:r>
        <w:t>(4) Aus einem gegen die eingegliederte Gesellschaft gerichteten vollstreckbaren Schuldtitel findet die Zwangsvollstreckung gegen die Hauptgesellschaft nicht statt.</w:t>
      </w:r>
    </w:p>
    <w:p>
      <w:pPr>
        <w:pStyle w:val="Heading3"/>
      </w:pPr>
      <w:bookmarkStart w:id="420" w:name="b419"/>
      <w:r>
        <w:t>§ 323 Leitungsmacht der Hauptgesellschaft und Verantwortlichkeit der Vorstandsmitglieder</w:t>
      </w:r>
      <w:r>
        <w:t xml:space="preserve"> </w:t>
      </w:r>
      <w:r>
        <w:rPr>
          <w:rStyle w:val="Suchmarke"/>
        </w:rPr>
        <w:t>#323#</w:t>
      </w:r>
      <w:bookmarkEnd w:id="420"/>
    </w:p>
    <w:p>
      <w:r>
        <w:t xml:space="preserve">(1) </w:t>
      </w:r>
      <w:r>
        <w:rPr>
          <w:rStyle w:val="Satznummer"/>
        </w:rPr>
        <w:t>1</w:t>
      </w:r>
      <w:r>
        <w:t xml:space="preserve">Die Hauptgesellschaft ist berechtigt, dem Vorstand der eingegliederten Gesellschaft hinsichtlich der Leitung der Gesellschaft Weisungen zu erteilen. </w:t>
      </w:r>
      <w:r>
        <w:rPr>
          <w:rStyle w:val="Satznummer"/>
        </w:rPr>
        <w:t>2</w:t>
      </w:r>
      <w:hyperlink w:anchor="b400" w:history="1">
        <w:r>
          <w:rPr>
            <w:color w:val="0A3A8C"/>
            <w:u w:val="single"/>
          </w:rPr>
          <w:t xml:space="preserve">§ 308</w:t>
        </w:r>
      </w:hyperlink>
      <w:r>
        <w:t xml:space="preserve"> Abs. 2 Satz 1, Abs. 3, </w:t>
      </w:r>
      <w:hyperlink w:anchor="b401" w:history="1">
        <w:r>
          <w:rPr>
            <w:color w:val="0A3A8C"/>
            <w:u w:val="single"/>
          </w:rPr>
          <w:t xml:space="preserve">§§ 309</w:t>
        </w:r>
      </w:hyperlink>
      <w:r>
        <w:t xml:space="preserve">, </w:t>
      </w:r>
      <w:hyperlink w:anchor="b402" w:history="1">
        <w:r>
          <w:rPr>
            <w:color w:val="0A3A8C"/>
            <w:u w:val="single"/>
          </w:rPr>
          <w:t xml:space="preserve">310</w:t>
        </w:r>
      </w:hyperlink>
      <w:r>
        <w:t xml:space="preserve"> gelten sinngemäß. </w:t>
      </w:r>
      <w:r>
        <w:rPr>
          <w:rStyle w:val="Satznummer"/>
        </w:rPr>
        <w:t>3</w:t>
      </w:r>
      <w:hyperlink w:anchor="b404" w:history="1">
        <w:r>
          <w:rPr>
            <w:color w:val="0A3A8C"/>
            <w:u w:val="single"/>
          </w:rPr>
          <w:t xml:space="preserve">§§ 311</w:t>
        </w:r>
      </w:hyperlink>
      <w:r>
        <w:t xml:space="preserve"> bis </w:t>
      </w:r>
      <w:hyperlink w:anchor="b411" w:history="1">
        <w:r>
          <w:rPr>
            <w:color w:val="0A3A8C"/>
            <w:u w:val="single"/>
          </w:rPr>
          <w:t xml:space="preserve">318</w:t>
        </w:r>
      </w:hyperlink>
      <w:r>
        <w:t xml:space="preserve"> sind nicht anzuwenden.</w:t>
      </w:r>
    </w:p>
    <w:p>
      <w:r>
        <w:t xml:space="preserve">(2) Leistungen der eingegliederten Gesellschaft an die Hauptgesellschaft gelten nicht als Verstoß gegen die </w:t>
      </w:r>
      <w:hyperlink w:anchor="b64" w:history="1">
        <w:r>
          <w:rPr>
            <w:color w:val="0A3A8C"/>
            <w:u w:val="single"/>
          </w:rPr>
          <w:t xml:space="preserve">§§ 57</w:t>
        </w:r>
      </w:hyperlink>
      <w:r>
        <w:t xml:space="preserve">, </w:t>
      </w:r>
      <w:hyperlink w:anchor="b65" w:history="1">
        <w:r>
          <w:rPr>
            <w:color w:val="0A3A8C"/>
            <w:u w:val="single"/>
          </w:rPr>
          <w:t xml:space="preserve">58</w:t>
        </w:r>
      </w:hyperlink>
      <w:r>
        <w:t xml:space="preserve"> und </w:t>
      </w:r>
      <w:hyperlink w:anchor="b67" w:history="1">
        <w:r>
          <w:rPr>
            <w:color w:val="0A3A8C"/>
            <w:u w:val="single"/>
          </w:rPr>
          <w:t xml:space="preserve">60</w:t>
        </w:r>
      </w:hyperlink>
      <w:r>
        <w:t>.</w:t>
      </w:r>
    </w:p>
    <w:p>
      <w:pPr>
        <w:pStyle w:val="Heading3"/>
      </w:pPr>
      <w:bookmarkStart w:id="421" w:name="b420"/>
      <w:r>
        <w:t>§ 324 Gesetzliche Rücklage. Gewinnabführung. Verlustübernahme</w:t>
      </w:r>
      <w:r>
        <w:t xml:space="preserve"> </w:t>
      </w:r>
      <w:r>
        <w:rPr>
          <w:rStyle w:val="Suchmarke"/>
        </w:rPr>
        <w:t>#324#</w:t>
      </w:r>
      <w:bookmarkEnd w:id="421"/>
    </w:p>
    <w:p>
      <w:r>
        <w:t>(1) Die gesetzlichen Vorschriften über die Bildung einer gesetzlichen Rücklage, über ihre Verwendung und über die Einstellung von Beträgen in die gesetzliche Rücklage sind auf eingegliederte Gesellschaften nicht anzuwenden.</w:t>
      </w:r>
    </w:p>
    <w:p>
      <w:r>
        <w:t xml:space="preserve">(2) </w:t>
      </w:r>
      <w:r>
        <w:rPr>
          <w:rStyle w:val="Satznummer"/>
        </w:rPr>
        <w:t>1</w:t>
      </w:r>
      <w:r>
        <w:t xml:space="preserve">Auf einen Gewinnabführungsvertrag, eine Gewinngemeinschaft oder einen Teilgewinnabführungsvertrag zwischen der eingegliederten Gesellschaft und der Hauptgesellschaft sind die </w:t>
      </w:r>
      <w:hyperlink w:anchor="b374" w:history="1">
        <w:r>
          <w:rPr>
            <w:color w:val="0A3A8C"/>
            <w:u w:val="single"/>
          </w:rPr>
          <w:t xml:space="preserve">§§ 293</w:t>
        </w:r>
      </w:hyperlink>
      <w:r>
        <w:t xml:space="preserve"> bis </w:t>
      </w:r>
      <w:hyperlink w:anchor="b384" w:history="1">
        <w:r>
          <w:rPr>
            <w:color w:val="0A3A8C"/>
            <w:u w:val="single"/>
          </w:rPr>
          <w:t xml:space="preserve">296</w:t>
        </w:r>
      </w:hyperlink>
      <w:r>
        <w:t xml:space="preserve">, </w:t>
      </w:r>
      <w:hyperlink w:anchor="b386" w:history="1">
        <w:r>
          <w:rPr>
            <w:color w:val="0A3A8C"/>
            <w:u w:val="single"/>
          </w:rPr>
          <w:t xml:space="preserve">298</w:t>
        </w:r>
      </w:hyperlink>
      <w:r>
        <w:t xml:space="preserve"> bis </w:t>
      </w:r>
      <w:hyperlink w:anchor="b392" w:history="1">
        <w:r>
          <w:rPr>
            <w:color w:val="0A3A8C"/>
            <w:u w:val="single"/>
          </w:rPr>
          <w:t xml:space="preserve">303</w:t>
        </w:r>
      </w:hyperlink>
      <w:r>
        <w:t xml:space="preserve"> nicht anzuwenden. </w:t>
      </w:r>
      <w:r>
        <w:rPr>
          <w:rStyle w:val="Satznummer"/>
        </w:rPr>
        <w:t>2</w:t>
      </w:r>
      <w:r>
        <w:t xml:space="preserve">Der Vertrag, seine Änderung und seine Aufhebung bedürfen der schriftlichen Form. </w:t>
      </w:r>
      <w:r>
        <w:rPr>
          <w:rStyle w:val="Satznummer"/>
        </w:rPr>
        <w:t>3</w:t>
      </w:r>
      <w:r>
        <w:t xml:space="preserve">Als Gewinn kann höchstens der ohne die Gewinnabführung entstehende Bilanzgewinn abgeführt werden. </w:t>
      </w:r>
      <w:r>
        <w:rPr>
          <w:rStyle w:val="Satznummer"/>
        </w:rPr>
        <w:t>4</w:t>
      </w:r>
      <w:r>
        <w:t>Der Vertrag endet spätestens zum Ende des Geschäftsjahrs, in dem die Eingliederung endet.</w:t>
      </w:r>
    </w:p>
    <w:p>
      <w:r>
        <w:t>(3) Die Hauptgesellschaft ist verpflichtet, jeden bei der eingegliederten Gesellschaft sonst entstehenden Bilanzverlust auszugleichen, soweit dieser den Betrag der Kapitalrücklagen und der Gewinnrücklagen übersteigt.</w:t>
      </w:r>
    </w:p>
    <w:p>
      <w:pPr>
        <w:pStyle w:val="Heading3"/>
      </w:pPr>
      <w:bookmarkStart w:id="422" w:name="b421"/>
      <w:r>
        <w:t>§ 325</w:t>
      </w:r>
      <w:r>
        <w:t xml:space="preserve"> </w:t>
      </w:r>
      <w:r>
        <w:rPr>
          <w:rStyle w:val="Suchmarke"/>
        </w:rPr>
        <w:t>#325#</w:t>
      </w:r>
      <w:bookmarkEnd w:id="422"/>
    </w:p>
    <w:p>
      <w:r>
        <w:t>-</w:t>
      </w:r>
    </w:p>
    <w:p>
      <w:pPr>
        <w:pStyle w:val="Heading3"/>
      </w:pPr>
      <w:bookmarkStart w:id="423" w:name="b422"/>
      <w:r>
        <w:t>§ 326 Auskunftsrecht der Aktionäre der Hauptgesellschaft</w:t>
      </w:r>
      <w:r>
        <w:t xml:space="preserve"> </w:t>
      </w:r>
      <w:r>
        <w:rPr>
          <w:rStyle w:val="Suchmarke"/>
        </w:rPr>
        <w:t>#326#</w:t>
      </w:r>
      <w:bookmarkEnd w:id="423"/>
    </w:p>
    <w:p>
      <w:r>
        <w:t>Jedem Aktionär der Hauptgesellschaft ist über Angelegenheiten der eingegliederten Gesellschaft ebenso Auskunft zu erteilen wie über Angelegenheiten der Hauptgesellschaft.</w:t>
      </w:r>
    </w:p>
    <w:p>
      <w:pPr>
        <w:pStyle w:val="Heading3"/>
      </w:pPr>
      <w:bookmarkStart w:id="424" w:name="b423"/>
      <w:r>
        <w:t>§ 327 Ende der Eingliederung</w:t>
      </w:r>
      <w:r>
        <w:t xml:space="preserve"> </w:t>
      </w:r>
      <w:r>
        <w:rPr>
          <w:rStyle w:val="Suchmarke"/>
        </w:rPr>
        <w:t>#327#</w:t>
      </w:r>
      <w:bookmarkEnd w:id="424"/>
    </w:p>
    <w:p>
      <w:r>
        <w:t>(1) Die Eingliederung endet</w:t>
      </w:r>
    </w:p>
    <w:p>
      <w:pPr>
        <w:tabs>
          <w:tab w:pos="567" w:val="left"/>
        </w:tabs>
        <w:ind w:left="567" w:hanging="567"/>
      </w:pPr>
      <w:r>
        <w:t>1.</w:t>
      </w:r>
      <w:r>
        <w:tab/>
      </w:r>
      <w:r>
        <w:t>durch Beschluß der Hauptversammlung der eingegliederten Gesellschaft,</w:t>
      </w:r>
    </w:p>
    <w:p>
      <w:pPr>
        <w:tabs>
          <w:tab w:pos="567" w:val="left"/>
        </w:tabs>
        <w:ind w:left="567" w:hanging="567"/>
      </w:pPr>
      <w:r>
        <w:t>2.</w:t>
      </w:r>
      <w:r>
        <w:tab/>
      </w:r>
      <w:r>
        <w:t>wenn die Hauptgesellschaft nicht mehr eine Aktiengesellschaft mit Sitz im Inland ist,</w:t>
      </w:r>
    </w:p>
    <w:p>
      <w:pPr>
        <w:tabs>
          <w:tab w:pos="567" w:val="left"/>
        </w:tabs>
        <w:ind w:left="567" w:hanging="567"/>
      </w:pPr>
      <w:r>
        <w:t>3.</w:t>
      </w:r>
      <w:r>
        <w:tab/>
      </w:r>
      <w:r>
        <w:t>wenn sich nicht mehr alle Aktien der eingegliederten Gesellschaft in der Hand der Hauptgesellschaft befinden,</w:t>
      </w:r>
    </w:p>
    <w:p>
      <w:pPr>
        <w:tabs>
          <w:tab w:pos="567" w:val="left"/>
        </w:tabs>
        <w:ind w:left="567" w:hanging="567"/>
      </w:pPr>
      <w:r>
        <w:t>4.</w:t>
      </w:r>
      <w:r>
        <w:tab/>
      </w:r>
      <w:r>
        <w:t>durch Auflösung der Hauptgesellschaft.</w:t>
      </w:r>
    </w:p>
    <w:p>
      <w:r>
        <w:t>(2) Befinden sich nicht mehr alle Aktien der eingegliederten Gesellschaft in der Hand der Hauptgesellschaft, so hat die Hauptgesellschaft dies der eingegliederten Gesellschaft unverzüglich in Textform mitzuteilen.</w:t>
      </w:r>
    </w:p>
    <w:p>
      <w:r>
        <w:t>(3) Der Vorstand der bisher eingegliederten Gesellschaft hat das Ende der Eingliederung, seinen Grund und seinen Zeitpunkt unverzüglich zur Eintragung in das Handelsregister des Sitzes der Gesellschaft anzumelden.</w:t>
      </w:r>
    </w:p>
    <w:p>
      <w:r>
        <w:t xml:space="preserve">(4) </w:t>
      </w:r>
      <w:r>
        <w:rPr>
          <w:rStyle w:val="Satznummer"/>
        </w:rPr>
        <w:t>1</w:t>
      </w:r>
      <w:r>
        <w:t xml:space="preserve">Endet die Eingliederung, so haftet die frühere Hauptgesellschaft für die bis dahin begründeten Verbindlichkeiten der bisher eingegliederten Gesellschaft, wenn sie vor Ablauf von fünf Jahren nach dem Ende der Eingliederung fällig und daraus Ansprüche gegen die frühere Hauptgesellschaft in einer in § 197 Abs. 1 Nr. 3 bis 5 des Bürgerlichen Gesetzbuchs bezeichneten Art festgestellt sind oder eine gerichtliche oder behördliche Vollstreckungshandlung vorgenommen oder beantragt wird; bei öffentlich-rechtlichen Verbindlichkeiten genügt der Erlass eines Verwaltungsakts. </w:t>
      </w:r>
      <w:r>
        <w:rPr>
          <w:rStyle w:val="Satznummer"/>
        </w:rPr>
        <w:t>2</w:t>
      </w:r>
      <w:r>
        <w:t xml:space="preserve">Die Frist beginnt mit dem Tag, an dem die Eintragung des Endes der Eingliederung in das Handelsregister nach § 10 des Handelsgesetzbuchs bekannt gemacht worden ist. </w:t>
      </w:r>
      <w:r>
        <w:rPr>
          <w:rStyle w:val="Satznummer"/>
        </w:rPr>
        <w:t>3</w:t>
      </w:r>
      <w:r>
        <w:t xml:space="preserve">Die für die Verjährung geltenden §§ 204, 206, 210, 211 und 212 Abs. 2 und 3 des Bürgerlichen Gesetzbuchs sind entsprechend anzuwenden. </w:t>
      </w:r>
      <w:r>
        <w:rPr>
          <w:rStyle w:val="Satznummer"/>
        </w:rPr>
        <w:t>4</w:t>
      </w:r>
      <w:r>
        <w:t>Einer Feststellung in einer in § 197 Abs. 1 Nr. 3 bis 5 des Bürgerlichen Gesetzbuchs bezeichneten Art bedarf es nicht, soweit die frühere Hauptgesellschaft den Anspruch schriftlich anerkannt hat.</w:t>
      </w:r>
    </w:p>
    <w:p>
      <w:pPr>
        <w:pStyle w:val="Heading2"/>
      </w:pPr>
      <w:bookmarkStart w:id="425" w:name="b424"/>
      <w:r>
        <w:t>Vierter Teil Ausschluss von Minderheitsaktionären</w:t>
      </w:r>
      <w:bookmarkEnd w:id="425"/>
    </w:p>
    <w:p>
      <w:pPr>
        <w:pStyle w:val="Heading3"/>
      </w:pPr>
      <w:bookmarkStart w:id="426" w:name="b425"/>
      <w:r>
        <w:t>§ 327a Übertragung von Aktien gegen Barabfindung</w:t>
      </w:r>
      <w:r>
        <w:t xml:space="preserve"> </w:t>
      </w:r>
      <w:r>
        <w:rPr>
          <w:rStyle w:val="Suchmarke"/>
        </w:rPr>
        <w:t>#327a#</w:t>
      </w:r>
      <w:bookmarkEnd w:id="426"/>
    </w:p>
    <w:p>
      <w:r>
        <w:t xml:space="preserve">(1) </w:t>
      </w:r>
      <w:r>
        <w:rPr>
          <w:rStyle w:val="Satznummer"/>
        </w:rPr>
        <w:t>1</w:t>
      </w:r>
      <w:r>
        <w:t xml:space="preserve">Die Hauptversammlung einer Aktiengesellschaft oder einer Kommanditgesellschaft auf Aktien kann auf Verlangen eines Aktionärs, dem Aktien der Gesellschaft in Höhe von 95 vom Hundert des Grundkapitals gehören (Hauptaktionär), die Übertragung der Aktien der übrigen Aktionäre (Minderheitsaktionäre) auf den Hauptaktionär gegen Gewährung einer angemessenen Barabfindung beschließen. </w:t>
      </w:r>
      <w:r>
        <w:rPr>
          <w:rStyle w:val="Satznummer"/>
        </w:rPr>
        <w:t>2</w:t>
      </w:r>
      <w:hyperlink w:anchor="b362" w:history="1">
        <w:r>
          <w:rPr>
            <w:color w:val="0A3A8C"/>
            <w:u w:val="single"/>
          </w:rPr>
          <w:t xml:space="preserve">§ 285</w:t>
        </w:r>
      </w:hyperlink>
      <w:r>
        <w:t xml:space="preserve"> Abs. 2 Satz 1 findet keine Anwendung.</w:t>
      </w:r>
    </w:p>
    <w:p>
      <w:r>
        <w:t xml:space="preserve">(2) Für die Feststellung, ob dem Hauptaktionär 95 vom Hundert der Aktien gehören, gilt </w:t>
      </w:r>
      <w:hyperlink w:anchor="b18" w:history="1">
        <w:r>
          <w:rPr>
            <w:color w:val="0A3A8C"/>
            <w:u w:val="single"/>
          </w:rPr>
          <w:t xml:space="preserve">§ 16</w:t>
        </w:r>
      </w:hyperlink>
      <w:r>
        <w:t xml:space="preserve"> Abs. 2 und 4.</w:t>
      </w:r>
    </w:p>
    <w:p>
      <w:pPr>
        <w:pStyle w:val="Heading3"/>
      </w:pPr>
      <w:bookmarkStart w:id="427" w:name="b426"/>
      <w:r>
        <w:t>§ 327b Barabfindung</w:t>
      </w:r>
      <w:r>
        <w:t xml:space="preserve"> </w:t>
      </w:r>
      <w:r>
        <w:rPr>
          <w:rStyle w:val="Suchmarke"/>
        </w:rPr>
        <w:t>#327b#</w:t>
      </w:r>
      <w:bookmarkEnd w:id="427"/>
    </w:p>
    <w:p>
      <w:r>
        <w:t xml:space="preserve">(1) </w:t>
      </w:r>
      <w:r>
        <w:rPr>
          <w:rStyle w:val="Satznummer"/>
        </w:rPr>
        <w:t>1</w:t>
      </w:r>
      <w:r>
        <w:t xml:space="preserve">Der Hauptaktionär legt die Höhe der Barabfindung fest; sie muss die Verhältnisse der Gesellschaft im Zeitpunkt der Beschlussfassung ihrer Hauptversammlung berücksichtigen. </w:t>
      </w:r>
      <w:r>
        <w:rPr>
          <w:rStyle w:val="Satznummer"/>
        </w:rPr>
        <w:t>2</w:t>
      </w:r>
      <w:r>
        <w:t>Der Vorstand hat dem Hauptaktionär alle dafür notwendigen Unterlagen zur Verfügung zu stellen und Auskünfte zu erteilen.</w:t>
      </w:r>
    </w:p>
    <w:p>
      <w:r>
        <w:t>(2) Die Barabfindung ist von der Bekanntmachung der Eintragung des Übertragungsbeschlusses in das Handelsregister an mit jährlich 5 Prozentpunkten über dem jeweiligen Basiszinssatz nach § 247 des Bürgerlichen Gesetzbuchs zu verzinsen; die Geltendmachung eines weiteren Schadens ist nicht ausgeschlossen.</w:t>
      </w:r>
    </w:p>
    <w:p>
      <w:r>
        <w:t>(3) Vor Einberufung der Hauptversammlung hat der Hauptaktionär dem Vorstand die Erklärung eines im Geltungsbereich dieses Gesetzes zum Geschäftsbetrieb befugten Kreditinstituts zu übermitteln, durch die das Kreditinstitut die Gewährleistung für die Erfüllung der Verpflichtung des Hauptaktionärs übernimmt, den Minderheitsaktionären nach Eintragung des Übertragungsbeschlusses unverzüglich die festgelegte Barabfindung für die übergegangenen Aktien zu zahlen.</w:t>
      </w:r>
    </w:p>
    <w:p>
      <w:pPr>
        <w:pStyle w:val="Heading3"/>
      </w:pPr>
      <w:bookmarkStart w:id="428" w:name="b427"/>
      <w:r>
        <w:t>§ 327c Vorbereitung der Hauptversammlung</w:t>
      </w:r>
      <w:r>
        <w:t xml:space="preserve"> </w:t>
      </w:r>
      <w:r>
        <w:rPr>
          <w:rStyle w:val="Suchmarke"/>
        </w:rPr>
        <w:t>#327c#</w:t>
      </w:r>
      <w:bookmarkEnd w:id="428"/>
    </w:p>
    <w:p>
      <w:r>
        <w:t>(1) Die Bekanntmachung der Übertragung als Gegenstand der Tagesordnung hat folgende Angaben zu enthalten:</w:t>
      </w:r>
    </w:p>
    <w:p>
      <w:pPr>
        <w:tabs>
          <w:tab w:pos="567" w:val="left"/>
        </w:tabs>
        <w:ind w:left="567" w:hanging="567"/>
      </w:pPr>
      <w:r>
        <w:t>1.</w:t>
      </w:r>
      <w:r>
        <w:tab/>
      </w:r>
      <w:r>
        <w:t>Firma und Sitz des Hauptaktionärs, bei natürlichen Personen Name und Adresse;</w:t>
      </w:r>
    </w:p>
    <w:p>
      <w:pPr>
        <w:tabs>
          <w:tab w:pos="567" w:val="left"/>
        </w:tabs>
        <w:ind w:left="567" w:hanging="567"/>
      </w:pPr>
      <w:r>
        <w:t>2.</w:t>
      </w:r>
      <w:r>
        <w:tab/>
      </w:r>
      <w:r>
        <w:t>die vom Hauptaktionär festgelegte Barabfindung.</w:t>
      </w:r>
    </w:p>
    <w:p>
      <w:r>
        <w:t xml:space="preserve">(2) </w:t>
      </w:r>
      <w:r>
        <w:rPr>
          <w:rStyle w:val="Satznummer"/>
        </w:rPr>
        <w:t>1</w:t>
      </w:r>
      <w:r>
        <w:t xml:space="preserve">Der Hauptaktionär hat der Hauptversammlung einen schriftlichen Bericht zu erstatten, in dem die Voraussetzungen für die Übertragung dargelegt und die Angemessenheit der Barabfindung erläutert und begründet werden. </w:t>
      </w:r>
      <w:r>
        <w:rPr>
          <w:rStyle w:val="Satznummer"/>
        </w:rPr>
        <w:t>2</w:t>
      </w:r>
      <w:r>
        <w:t xml:space="preserve">Die Angemessenheit der Barabfindung ist durch einen oder mehrere sachverständige Prüfer zu prüfen. </w:t>
      </w:r>
      <w:r>
        <w:rPr>
          <w:rStyle w:val="Satznummer"/>
        </w:rPr>
        <w:t>3</w:t>
      </w:r>
      <w:r>
        <w:t xml:space="preserve">Diese werden auf Antrag des Hauptaktionärs vom Gericht ausgewählt und bestellt. </w:t>
      </w:r>
      <w:r>
        <w:rPr>
          <w:rStyle w:val="Satznummer"/>
        </w:rPr>
        <w:t>4</w:t>
      </w:r>
      <w:hyperlink w:anchor="b375" w:history="1">
        <w:r>
          <w:rPr>
            <w:color w:val="0A3A8C"/>
            <w:u w:val="single"/>
          </w:rPr>
          <w:t xml:space="preserve">§ 293a</w:t>
        </w:r>
      </w:hyperlink>
      <w:r>
        <w:t xml:space="preserve"> Abs. 2 und 3, </w:t>
      </w:r>
      <w:hyperlink w:anchor="b377" w:history="1">
        <w:r>
          <w:rPr>
            <w:color w:val="0A3A8C"/>
            <w:u w:val="single"/>
          </w:rPr>
          <w:t xml:space="preserve">§ 293c</w:t>
        </w:r>
      </w:hyperlink>
      <w:r>
        <w:t xml:space="preserve"> Abs. 1 Satz 3 bis 5, Abs. 2 sowie die </w:t>
      </w:r>
      <w:hyperlink w:anchor="b378" w:history="1">
        <w:r>
          <w:rPr>
            <w:color w:val="0A3A8C"/>
            <w:u w:val="single"/>
          </w:rPr>
          <w:t xml:space="preserve">§§ 293d</w:t>
        </w:r>
      </w:hyperlink>
      <w:r>
        <w:t xml:space="preserve"> und </w:t>
      </w:r>
      <w:hyperlink w:anchor="b379" w:history="1">
        <w:r>
          <w:rPr>
            <w:color w:val="0A3A8C"/>
            <w:u w:val="single"/>
          </w:rPr>
          <w:t xml:space="preserve">293e</w:t>
        </w:r>
      </w:hyperlink>
      <w:r>
        <w:t xml:space="preserve"> sind sinngemäß anzuwenden.</w:t>
      </w:r>
    </w:p>
    <w:p>
      <w:r>
        <w:t>(3) Von der Einberufung der Hauptversammlung an sind in dem Geschäftsraum der Gesellschaft zur Einsicht der Aktionäre auszulegen</w:t>
      </w:r>
    </w:p>
    <w:p>
      <w:pPr>
        <w:tabs>
          <w:tab w:pos="567" w:val="left"/>
        </w:tabs>
        <w:ind w:left="567" w:hanging="567"/>
      </w:pPr>
      <w:r>
        <w:t>1.</w:t>
      </w:r>
      <w:r>
        <w:tab/>
      </w:r>
      <w:r>
        <w:t>der Entwurf des Übertragungsbeschlusses;</w:t>
      </w:r>
    </w:p>
    <w:p>
      <w:pPr>
        <w:tabs>
          <w:tab w:pos="567" w:val="left"/>
        </w:tabs>
        <w:ind w:left="567" w:hanging="567"/>
      </w:pPr>
      <w:r>
        <w:t>2.</w:t>
      </w:r>
      <w:r>
        <w:tab/>
      </w:r>
      <w:r>
        <w:t>die Jahresabschlüsse und Lageberichte für die letzten drei Geschäftsjahre;</w:t>
      </w:r>
    </w:p>
    <w:p>
      <w:pPr>
        <w:tabs>
          <w:tab w:pos="567" w:val="left"/>
        </w:tabs>
        <w:ind w:left="567" w:hanging="567"/>
      </w:pPr>
      <w:r>
        <w:t>3.</w:t>
      </w:r>
      <w:r>
        <w:tab/>
      </w:r>
      <w:r>
        <w:t>der nach Absatz 2 Satz 1 erstattete Bericht des Hauptaktionärs;</w:t>
      </w:r>
    </w:p>
    <w:p>
      <w:pPr>
        <w:tabs>
          <w:tab w:pos="567" w:val="left"/>
        </w:tabs>
        <w:ind w:left="567" w:hanging="567"/>
      </w:pPr>
      <w:r>
        <w:t>4.</w:t>
      </w:r>
      <w:r>
        <w:tab/>
      </w:r>
      <w:r>
        <w:t>der nach Absatz 2 Satz 2 bis 4 erstattete Prüfungsbericht.</w:t>
      </w:r>
    </w:p>
    <w:p>
      <w:r>
        <w:t>(4) Auf Verlangen ist jedem Aktionär unverzüglich und kostenlos eine Abschrift der in Absatz 3 bezeichneten Unterlagen zu erteilen.</w:t>
      </w:r>
    </w:p>
    <w:p>
      <w:r>
        <w:t>(5) Die Verpflichtungen nach den Absätzen 3 und 4 entfallen, wenn die in Absatz 3 bezeichneten Unterlagen für denselben Zeitraum über die Internetseite der Gesellschaft zugänglich sind.</w:t>
      </w:r>
    </w:p>
    <w:p>
      <w:pPr>
        <w:pStyle w:val="Heading3"/>
      </w:pPr>
      <w:bookmarkStart w:id="429" w:name="b428"/>
      <w:r>
        <w:t>§ 327d Durchführung der Hauptversammlung</w:t>
      </w:r>
      <w:r>
        <w:t xml:space="preserve"> </w:t>
      </w:r>
      <w:r>
        <w:rPr>
          <w:rStyle w:val="Suchmarke"/>
        </w:rPr>
        <w:t>#327d#</w:t>
      </w:r>
      <w:bookmarkEnd w:id="429"/>
    </w:p>
    <w:p>
      <w:r>
        <w:rPr>
          <w:rStyle w:val="Satznummer"/>
        </w:rPr>
        <w:t>1</w:t>
      </w:r>
      <w:r>
        <w:t xml:space="preserve">In der Hauptversammlung sind die in </w:t>
      </w:r>
      <w:hyperlink w:anchor="b427" w:history="1">
        <w:r>
          <w:rPr>
            <w:color w:val="0A3A8C"/>
            <w:u w:val="single"/>
          </w:rPr>
          <w:t xml:space="preserve">§ 327c</w:t>
        </w:r>
      </w:hyperlink>
      <w:r>
        <w:t xml:space="preserve"> Abs. 3 bezeichneten Unterlagen zugänglich zu machen. </w:t>
      </w:r>
      <w:r>
        <w:rPr>
          <w:rStyle w:val="Satznummer"/>
        </w:rPr>
        <w:t>2</w:t>
      </w:r>
      <w:r>
        <w:t>Der Vorstand kann dem Hauptaktionär Gelegenheit geben, den Entwurf des Übertragungsbeschlusses und die Bemessung der Höhe der Barabfindung zu Beginn der Verhandlung mündlich zu erläutern.</w:t>
      </w:r>
    </w:p>
    <w:p>
      <w:pPr>
        <w:pStyle w:val="Heading3"/>
      </w:pPr>
      <w:bookmarkStart w:id="430" w:name="b429"/>
      <w:r>
        <w:t>§ 327e Eintragung des Übertragungsbeschlusses</w:t>
      </w:r>
      <w:r>
        <w:t xml:space="preserve"> </w:t>
      </w:r>
      <w:r>
        <w:rPr>
          <w:rStyle w:val="Suchmarke"/>
        </w:rPr>
        <w:t>#327e#</w:t>
      </w:r>
      <w:bookmarkEnd w:id="430"/>
    </w:p>
    <w:p>
      <w:r>
        <w:t xml:space="preserve">(1) </w:t>
      </w:r>
      <w:r>
        <w:rPr>
          <w:rStyle w:val="Satznummer"/>
        </w:rPr>
        <w:t>1</w:t>
      </w:r>
      <w:r>
        <w:t xml:space="preserve">Der Vorstand hat den Übertragungsbeschluss zur Eintragung in das Handelsregister anzumelden. </w:t>
      </w:r>
      <w:r>
        <w:rPr>
          <w:rStyle w:val="Satznummer"/>
        </w:rPr>
        <w:t>2</w:t>
      </w:r>
      <w:r>
        <w:t>Der Anmeldung sind die Niederschrift des Übertragungsbeschlusses und seine Anlagen in Ausfertigung oder öffentlich beglaubigter Abschrift beizufügen.</w:t>
      </w:r>
    </w:p>
    <w:p>
      <w:r>
        <w:t xml:space="preserve">(2) </w:t>
      </w:r>
      <w:hyperlink w:anchor="b413" w:history="1">
        <w:r>
          <w:rPr>
            <w:color w:val="0A3A8C"/>
            <w:u w:val="single"/>
          </w:rPr>
          <w:t xml:space="preserve">§ 319</w:t>
        </w:r>
      </w:hyperlink>
      <w:r>
        <w:t xml:space="preserve"> Abs. 5 und 6 gilt sinngemäß.</w:t>
      </w:r>
    </w:p>
    <w:p>
      <w:r>
        <w:t xml:space="preserve">(3) </w:t>
      </w:r>
      <w:r>
        <w:rPr>
          <w:rStyle w:val="Satznummer"/>
        </w:rPr>
        <w:t>1</w:t>
      </w:r>
      <w:r>
        <w:t xml:space="preserve">Mit der Eintragung des Übertragungsbeschlusses in das Handelsregister gehen alle Aktien der Minderheitsaktionäre auf den Hauptaktionär über. </w:t>
      </w:r>
      <w:r>
        <w:rPr>
          <w:rStyle w:val="Satznummer"/>
        </w:rPr>
        <w:t>2</w:t>
      </w:r>
      <w:r>
        <w:t>Sind über diese Aktien Aktienurkunden ausgegeben, so verbriefen sie bis zu ihrer Aushändigung an den Hauptaktionär nur den Anspruch auf Barabfindung.</w:t>
      </w:r>
    </w:p>
    <w:p>
      <w:pPr>
        <w:pStyle w:val="Heading3"/>
      </w:pPr>
      <w:bookmarkStart w:id="431" w:name="b430"/>
      <w:r>
        <w:t>§ 327f Gerichtliche Nachprüfung der Abfindung</w:t>
      </w:r>
      <w:r>
        <w:t xml:space="preserve"> </w:t>
      </w:r>
      <w:r>
        <w:rPr>
          <w:rStyle w:val="Suchmarke"/>
        </w:rPr>
        <w:t>#327f#</w:t>
      </w:r>
      <w:bookmarkEnd w:id="431"/>
    </w:p>
    <w:p>
      <w:r>
        <w:rPr>
          <w:rStyle w:val="Satznummer"/>
        </w:rPr>
        <w:t>1</w:t>
      </w:r>
      <w:r>
        <w:t xml:space="preserve">Die Anfechtung des Übertragungsbeschlusses kann nicht auf </w:t>
      </w:r>
      <w:hyperlink w:anchor="b306" w:history="1">
        <w:r>
          <w:rPr>
            <w:color w:val="0A3A8C"/>
            <w:u w:val="single"/>
          </w:rPr>
          <w:t xml:space="preserve">§ 243</w:t>
        </w:r>
      </w:hyperlink>
      <w:r>
        <w:t xml:space="preserve"> Abs. 2 oder darauf gestützt werden, dass die durch den Hauptaktionär festgelegte Barabfindung nicht angemessen ist. </w:t>
      </w:r>
      <w:r>
        <w:rPr>
          <w:rStyle w:val="Satznummer"/>
        </w:rPr>
        <w:t>2</w:t>
      </w:r>
      <w:r>
        <w:t xml:space="preserve">Ist die Barabfindung nicht angemessen, so hat das in § 2 des Spruchverfahrensgesetzes bestimmte Gericht auf Antrag die angemessene Barabfindung zu bestimmen. </w:t>
      </w:r>
      <w:r>
        <w:rPr>
          <w:rStyle w:val="Satznummer"/>
        </w:rPr>
        <w:t>3</w:t>
      </w:r>
      <w:r>
        <w:t>Das Gleiche gilt, wenn der Hauptaktionär eine Barabfindung nicht oder nicht ordnungsgemäß angeboten hat und eine hierauf gestützte Anfechtungsklage innerhalb der Anfechtungsfrist nicht erhoben, zurückgenommen oder rechtskräftig abgewiesen worden ist.</w:t>
      </w:r>
    </w:p>
    <w:p>
      <w:pPr>
        <w:pStyle w:val="Heading2"/>
      </w:pPr>
      <w:bookmarkStart w:id="432" w:name="b431"/>
      <w:r>
        <w:t>Fünfter Teil Wechselseitig beteiligte Unternehmen</w:t>
      </w:r>
      <w:bookmarkEnd w:id="432"/>
    </w:p>
    <w:p>
      <w:pPr>
        <w:pStyle w:val="Heading3"/>
      </w:pPr>
      <w:bookmarkStart w:id="433" w:name="b432"/>
      <w:r>
        <w:t>§ 328 Beschränkung der Rechte</w:t>
      </w:r>
      <w:r>
        <w:t xml:space="preserve"> </w:t>
      </w:r>
      <w:r>
        <w:rPr>
          <w:rStyle w:val="Suchmarke"/>
        </w:rPr>
        <w:t>#328#</w:t>
      </w:r>
      <w:bookmarkEnd w:id="433"/>
    </w:p>
    <w:p>
      <w:r>
        <w:t xml:space="preserve">(1) </w:t>
      </w:r>
      <w:r>
        <w:rPr>
          <w:rStyle w:val="Satznummer"/>
        </w:rPr>
        <w:t>1</w:t>
      </w:r>
      <w:r>
        <w:t xml:space="preserve">Sind eine Aktiengesellschaft oder Kommanditgesellschaft auf Aktien und ein anderes Unternehmen wechselseitig beteiligte Unternehmen, so können, sobald dem einen Unternehmen das Bestehen der wechselseitigen Beteiligung bekannt geworden ist oder ihm das andere Unternehmen eine Mitteilung nach </w:t>
      </w:r>
      <w:hyperlink w:anchor="b22" w:history="1">
        <w:r>
          <w:rPr>
            <w:color w:val="0A3A8C"/>
            <w:u w:val="single"/>
          </w:rPr>
          <w:t xml:space="preserve">§ 20</w:t>
        </w:r>
      </w:hyperlink>
      <w:r>
        <w:t xml:space="preserve"> Abs. 3 oder </w:t>
      </w:r>
      <w:hyperlink w:anchor="b23" w:history="1">
        <w:r>
          <w:rPr>
            <w:color w:val="0A3A8C"/>
            <w:u w:val="single"/>
          </w:rPr>
          <w:t xml:space="preserve">§ 21</w:t>
        </w:r>
      </w:hyperlink>
      <w:r>
        <w:t xml:space="preserve"> Abs. 1 gemacht hat, Rechte aus den Anteilen, die ihm an dem anderen Unternehmen gehören, nur für höchstens den vierten Teil aller Anteile des anderen Unternehmens ausgeübt werden. </w:t>
      </w:r>
      <w:r>
        <w:rPr>
          <w:rStyle w:val="Satznummer"/>
        </w:rPr>
        <w:t>2</w:t>
      </w:r>
      <w:r>
        <w:t xml:space="preserve">Dies gilt nicht für das Recht auf neue Aktien bei einer Kapitalerhöhung aus Gesellschaftsmitteln. </w:t>
      </w:r>
      <w:r>
        <w:rPr>
          <w:rStyle w:val="Satznummer"/>
        </w:rPr>
        <w:t>3</w:t>
      </w:r>
      <w:hyperlink w:anchor="b18" w:history="1">
        <w:r>
          <w:rPr>
            <w:color w:val="0A3A8C"/>
            <w:u w:val="single"/>
          </w:rPr>
          <w:t xml:space="preserve">§ 16</w:t>
        </w:r>
      </w:hyperlink>
      <w:r>
        <w:t xml:space="preserve"> Abs. 4 ist anzuwenden.</w:t>
      </w:r>
    </w:p>
    <w:p>
      <w:r>
        <w:t xml:space="preserve">(2) Die Beschränkung des Absatzes 1 gilt nicht, wenn das Unternehmen seinerseits dem anderen Unternehmen eine Mitteilung nach </w:t>
      </w:r>
      <w:hyperlink w:anchor="b22" w:history="1">
        <w:r>
          <w:rPr>
            <w:color w:val="0A3A8C"/>
            <w:u w:val="single"/>
          </w:rPr>
          <w:t xml:space="preserve">§ 20</w:t>
        </w:r>
      </w:hyperlink>
      <w:r>
        <w:t xml:space="preserve"> Abs. 3 oder </w:t>
      </w:r>
      <w:hyperlink w:anchor="b23" w:history="1">
        <w:r>
          <w:rPr>
            <w:color w:val="0A3A8C"/>
            <w:u w:val="single"/>
          </w:rPr>
          <w:t xml:space="preserve">§ 21</w:t>
        </w:r>
      </w:hyperlink>
      <w:r>
        <w:t xml:space="preserve"> Abs. 1 gemacht hatte, bevor es von dem anderen Unternehmen eine solche Mitteilung erhalten hat und bevor ihm das Bestehen der wechselseitigen Beteiligung bekannt geworden ist.</w:t>
      </w:r>
    </w:p>
    <w:p>
      <w:r>
        <w:t>(3) In der Hauptversammlung einer börsennotierten Gesellschaft kann ein Unternehmen, dem die wechselseitige Beteiligung gemäß Absatz 1 bekannt ist, sein Stimmrecht zur Wahl von Mitgliedern in den Aufsichtsrat nicht ausüben.</w:t>
      </w:r>
    </w:p>
    <w:p>
      <w:r>
        <w:t>(4) Sind eine Aktiengesellschaft oder Kommanditgesellschaft auf Aktien und ein anderes Unternehmen wechselseitig beteiligte Unternehmen, so haben die Unternehmen einander unverzüglich die Höhe ihrer Beteiligung und jede Änderung in Textform mitzuteilen.</w:t>
      </w:r>
    </w:p>
    <w:p>
      <w:pPr>
        <w:pStyle w:val="Heading2"/>
      </w:pPr>
      <w:bookmarkStart w:id="434" w:name="b433"/>
      <w:r>
        <w:t>Sechster Teil Rechnungslegung im Konzern</w:t>
      </w:r>
      <w:bookmarkEnd w:id="434"/>
    </w:p>
    <w:p>
      <w:pPr>
        <w:pStyle w:val="Heading3"/>
      </w:pPr>
      <w:bookmarkStart w:id="435" w:name="b434"/>
      <w:r>
        <w:t>§§ 329 bis 336</w:t>
      </w:r>
      <w:bookmarkEnd w:id="435"/>
    </w:p>
    <w:p>
      <w:pPr>
        <w:pStyle w:val="Heading3"/>
      </w:pPr>
      <w:bookmarkStart w:id="436" w:name="b435"/>
      <w:r>
        <w:t>§ 337</w:t>
      </w:r>
      <w:r>
        <w:t xml:space="preserve"> </w:t>
      </w:r>
      <w:r>
        <w:rPr>
          <w:rStyle w:val="Suchmarke"/>
        </w:rPr>
        <w:t>#337#</w:t>
      </w:r>
      <w:bookmarkEnd w:id="436"/>
    </w:p>
    <w:p>
      <w:r>
        <w:t>(weggefallen)</w:t>
      </w:r>
    </w:p>
    <w:p>
      <w:pPr>
        <w:pStyle w:val="Heading3"/>
      </w:pPr>
      <w:bookmarkStart w:id="437" w:name="b436"/>
      <w:r>
        <w:t>§ 338</w:t>
      </w:r>
      <w:r>
        <w:t xml:space="preserve"> </w:t>
      </w:r>
      <w:r>
        <w:rPr>
          <w:rStyle w:val="Suchmarke"/>
        </w:rPr>
        <w:t>#338#</w:t>
      </w:r>
      <w:bookmarkEnd w:id="437"/>
    </w:p>
    <w:p>
      <w:r>
        <w:t>-</w:t>
      </w:r>
    </w:p>
    <w:p>
      <w:pPr>
        <w:pStyle w:val="Heading1"/>
      </w:pPr>
      <w:bookmarkStart w:id="438" w:name="b437"/>
      <w:r>
        <w:t>Viertes Buch Sonder-, Straf- und Schlußvorschriften</w:t>
      </w:r>
      <w:bookmarkEnd w:id="438"/>
    </w:p>
    <w:p>
      <w:pPr>
        <w:pStyle w:val="Heading2"/>
      </w:pPr>
      <w:bookmarkStart w:id="439" w:name="b438"/>
      <w:r>
        <w:t>Erster Teil Sondervorschriften bei Beteiligung von Gebietskörperschaften</w:t>
      </w:r>
      <w:bookmarkEnd w:id="439"/>
    </w:p>
    <w:p>
      <w:pPr>
        <w:pStyle w:val="Heading3"/>
      </w:pPr>
      <w:bookmarkStart w:id="440" w:name="b439"/>
      <w:r>
        <w:t>§ 393a Besetzung von Organen bei Aktiengesellschaften mit Mehrheitsbeteiligung des Bundes</w:t>
      </w:r>
      <w:r>
        <w:t xml:space="preserve"> </w:t>
      </w:r>
      <w:r>
        <w:rPr>
          <w:rStyle w:val="Suchmarke"/>
        </w:rPr>
        <w:t>#393a#</w:t>
      </w:r>
      <w:bookmarkEnd w:id="440"/>
    </w:p>
    <w:p>
      <w:r>
        <w:t xml:space="preserve">(1) </w:t>
      </w:r>
      <w:r>
        <w:rPr>
          <w:rStyle w:val="Satznummer"/>
        </w:rPr>
        <w:t>1</w:t>
      </w:r>
      <w:r>
        <w:t>Aktiengesellschaften mit Mehrheitsbeteiligung des Bundes sind Aktiengesellschaften mit Sitz im Inland,</w:t>
      </w:r>
    </w:p>
    <w:p>
      <w:pPr>
        <w:tabs>
          <w:tab w:pos="567" w:val="left"/>
        </w:tabs>
        <w:ind w:left="567" w:hanging="567"/>
      </w:pPr>
      <w:r>
        <w:t>1.</w:t>
      </w:r>
      <w:r>
        <w:tab/>
      </w:r>
      <w:r>
        <w:t>deren Anteile zur Mehrheit vom Bund gehalten werden oder</w:t>
      </w:r>
    </w:p>
    <w:p>
      <w:pPr>
        <w:tabs>
          <w:tab w:pos="567" w:val="left"/>
        </w:tabs>
        <w:ind w:left="567" w:hanging="567"/>
      </w:pPr>
      <w:r>
        <w:t>2.</w:t>
      </w:r>
      <w:r>
        <w:tab/>
      </w:r>
      <w:r>
        <w:t>die große Kapitalgesellschaften (§ 267 Absatz 3 des Handelsgesetzbuchs) sind und deren Anteile zur Mehrheit von Gesellschaften gehalten werden, deren Anteile ihrerseits zur Mehrheit vom Bund gehalten werden, oder</w:t>
      </w:r>
    </w:p>
    <w:p>
      <w:pPr>
        <w:tabs>
          <w:tab w:pos="567" w:val="left"/>
        </w:tabs>
        <w:ind w:left="567" w:hanging="567"/>
      </w:pPr>
      <w:r>
        <w:t>3.</w:t>
      </w:r>
      <w:r>
        <w:tab/>
      </w:r>
      <w:r>
        <w:t>die in der Regel mehr als 500 Arbeitnehmerinnen und Arbeitnehmer haben und deren Anteile zur Mehrheit von Gesellschaften gehalten werden, deren Anteile ihrerseits zur Mehrheit</w:t>
      </w:r>
    </w:p>
    <w:p>
      <w:pPr>
        <w:tabs>
          <w:tab w:pos="1134" w:val="left"/>
        </w:tabs>
        <w:ind w:left="1134" w:hanging="567"/>
      </w:pPr>
      <w:r>
        <w:t>a)</w:t>
      </w:r>
      <w:r>
        <w:tab/>
      </w:r>
      <w:r>
        <w:t>vom Bund gehalten werden oder</w:t>
      </w:r>
    </w:p>
    <w:p>
      <w:pPr>
        <w:tabs>
          <w:tab w:pos="1134" w:val="left"/>
        </w:tabs>
        <w:ind w:left="1134" w:hanging="567"/>
      </w:pPr>
      <w:r>
        <w:t>b)</w:t>
      </w:r>
      <w:r>
        <w:tab/>
      </w:r>
      <w:r>
        <w:t>von Gesellschaften gehalten werden, bei denen sich die Inhaberschaften an den Anteilen in dieser Weise bis zu Gesellschaften fortsetzen, deren Anteile zur Mehrheit vom Bund gehalten werden.</w:t>
      </w:r>
    </w:p>
    <w:p>
      <w:r>
        <w:rPr>
          <w:rStyle w:val="Satznummer"/>
        </w:rPr>
        <w:t>2</w:t>
      </w:r>
      <w:r>
        <w:t xml:space="preserve">Anteile, die über ein Sondervermögen des Bundes gehalten werden, bleiben außer Betracht. </w:t>
      </w:r>
      <w:r>
        <w:rPr>
          <w:rStyle w:val="Satznummer"/>
        </w:rPr>
        <w:t>3</w:t>
      </w:r>
      <w:r>
        <w:t>Dem Bund stehen öffentlich-rechtliche Anstalten des Bundes, die unternehmerisch tätig sind, gleich.</w:t>
      </w:r>
    </w:p>
    <w:p>
      <w:r>
        <w:t>(2) Für Aktiengesellschaften mit Mehrheitsbeteiligung des Bundes gelten</w:t>
      </w:r>
    </w:p>
    <w:p>
      <w:pPr>
        <w:tabs>
          <w:tab w:pos="567" w:val="left"/>
        </w:tabs>
        <w:ind w:left="567" w:hanging="567"/>
      </w:pPr>
      <w:r>
        <w:t>1.</w:t>
      </w:r>
      <w:r>
        <w:tab/>
      </w:r>
      <w:hyperlink w:anchor="b96" w:history="1">
        <w:r>
          <w:rPr>
            <w:color w:val="0A3A8C"/>
            <w:u w:val="single"/>
          </w:rPr>
          <w:t xml:space="preserve">§ 76</w:t>
        </w:r>
      </w:hyperlink>
      <w:r>
        <w:t xml:space="preserve"> Absatz 3a unabhängig von einer Börsennotierung und einer Geltung des Mitbestimmungsgesetzes, des Montan-Mitbestimmungsgesetzes oder des Mitbestimmungsergänzungsgesetzes, wenn der Vorstand aus mehr als zwei Personen besteht, sowie</w:t>
      </w:r>
    </w:p>
    <w:p>
      <w:pPr>
        <w:tabs>
          <w:tab w:pos="567" w:val="left"/>
        </w:tabs>
        <w:ind w:left="567" w:hanging="567"/>
      </w:pPr>
      <w:r>
        <w:t>2.</w:t>
      </w:r>
      <w:r>
        <w:tab/>
      </w:r>
      <w:hyperlink w:anchor="b118" w:history="1">
        <w:r>
          <w:rPr>
            <w:color w:val="0A3A8C"/>
            <w:u w:val="single"/>
          </w:rPr>
          <w:t xml:space="preserve">§ 96</w:t>
        </w:r>
      </w:hyperlink>
      <w:r>
        <w:t xml:space="preserve"> Absatz 2 unabhängig von einer Börsennotierung und einer Geltung des Mitbestimmungsgesetzes, des Montan-Mitbestimmungsgesetzes oder des Mitbestimmungsergänzungsgesetzes.</w:t>
      </w:r>
    </w:p>
    <w:p>
      <w:r>
        <w:t xml:space="preserve">(3) </w:t>
      </w:r>
      <w:r>
        <w:rPr>
          <w:rStyle w:val="Satznummer"/>
        </w:rPr>
        <w:t>1</w:t>
      </w:r>
      <w:r>
        <w:t xml:space="preserve">Die Länder können die Vorgaben des Absatzes 2 durch Landesgesetz auf Aktiengesellschaften erstrecken, an denen eine Mehrheitsbeteiligung eines Landes entsprechend Absatz 1 besteht. </w:t>
      </w:r>
      <w:r>
        <w:rPr>
          <w:rStyle w:val="Satznummer"/>
        </w:rPr>
        <w:t>2</w:t>
      </w:r>
      <w:r>
        <w:t>In diesem Fall gelten für Gesellschaften mit Mehrheitsbeteiligung eines Landes, die der Mitbestimmung unterliegen, die gesetzlichen Regelungen und Wahlordnungen zur Mitbestimmung in Unternehmen mit Mehrheitsbeteiligung des Bundes entsprechend.</w:t>
      </w:r>
    </w:p>
    <w:p>
      <w:pPr>
        <w:pStyle w:val="Heading3"/>
      </w:pPr>
      <w:bookmarkStart w:id="441" w:name="b440"/>
      <w:r>
        <w:t>§ 394 Berichte der Aufsichtsratsmitglieder</w:t>
      </w:r>
      <w:r>
        <w:t xml:space="preserve"> </w:t>
      </w:r>
      <w:r>
        <w:rPr>
          <w:rStyle w:val="Suchmarke"/>
        </w:rPr>
        <w:t>#394#</w:t>
      </w:r>
      <w:bookmarkEnd w:id="441"/>
    </w:p>
    <w:p>
      <w:r>
        <w:rPr>
          <w:rStyle w:val="Satznummer"/>
        </w:rPr>
        <w:t>1</w:t>
      </w:r>
      <w:r>
        <w:t xml:space="preserve">Aufsichtsratsmitglieder, die auf Veranlassung einer Gebietskörperschaft in den Aufsichtsrat gewählt oder entsandt worden sind, unterliegen hinsichtlich der Berichte, die sie der Gebietskörperschaft zu erstatten haben, keiner Verschwiegenheitspflicht. </w:t>
      </w:r>
      <w:r>
        <w:rPr>
          <w:rStyle w:val="Satznummer"/>
        </w:rPr>
        <w:t>2</w:t>
      </w:r>
      <w:r>
        <w:t xml:space="preserve">Für vertrauliche Angaben und Geheimnisse der Gesellschaft, namentlich Betriebs- oder Geschäftsgeheimnisse, gilt dies nicht, wenn ihre Kenntnis für die Zwecke der Berichte nicht von Bedeutung ist. </w:t>
      </w:r>
      <w:r>
        <w:rPr>
          <w:rStyle w:val="Satznummer"/>
        </w:rPr>
        <w:t>3</w:t>
      </w:r>
      <w:r>
        <w:t>Die Berichtspflicht nach Satz 1 kann auf Gesetz, auf Satzung oder auf dem Aufsichtsrat in Textform mitgeteiltem Rechtsgeschäft beruhen.</w:t>
      </w:r>
    </w:p>
    <w:p>
      <w:pPr>
        <w:pStyle w:val="Heading3"/>
      </w:pPr>
      <w:bookmarkStart w:id="442" w:name="b441"/>
      <w:r>
        <w:t>§ 395 Verschwiegenheitspflicht</w:t>
      </w:r>
      <w:r>
        <w:t xml:space="preserve"> </w:t>
      </w:r>
      <w:r>
        <w:rPr>
          <w:rStyle w:val="Suchmarke"/>
        </w:rPr>
        <w:t>#395#</w:t>
      </w:r>
      <w:bookmarkEnd w:id="442"/>
    </w:p>
    <w:p>
      <w:r>
        <w:t xml:space="preserve">(1) Personen, die damit betraut sind, die Beteiligungen einer Gebietskörperschaft zu verwalten oder für eine Gebietskörperschaft die Gesellschaft, die Betätigung der Gebietskörperschaft als Aktionär oder die Tätigkeit der auf Veranlassung der Gebietskörperschaft gewählten oder entsandten Aufsichtsratsmitglieder zu prüfen, haben über vertrauliche Angaben und Geheimnisse der Gesellschaft, namentlich Betriebs- oder Geschäftsgeheimnisse, die ihnen aus Berichten nach </w:t>
      </w:r>
      <w:hyperlink w:anchor="b440" w:history="1">
        <w:r>
          <w:rPr>
            <w:color w:val="0A3A8C"/>
            <w:u w:val="single"/>
          </w:rPr>
          <w:t xml:space="preserve">§ 394</w:t>
        </w:r>
      </w:hyperlink>
      <w:r>
        <w:t xml:space="preserve"> bekanntgeworden sind, Stillschweigen zu bewahren; dies gilt nicht für Mitteilungen im dienstlichen Verkehr.</w:t>
      </w:r>
    </w:p>
    <w:p>
      <w:r>
        <w:t>(2) Bei der Veröffentlichung von Prüfungsergebnissen dürfen vertrauliche Angaben und Geheimnisse der Gesellschaft, namentlich Betriebs- oder Geschäftsgeheimnisse, nicht veröffentlicht werden.</w:t>
      </w:r>
    </w:p>
    <w:p>
      <w:pPr>
        <w:pStyle w:val="Heading2"/>
      </w:pPr>
      <w:bookmarkStart w:id="443" w:name="b442"/>
      <w:r>
        <w:t>Zweiter Teil Gerichtliche Auflösung</w:t>
      </w:r>
      <w:bookmarkEnd w:id="443"/>
    </w:p>
    <w:p>
      <w:pPr>
        <w:pStyle w:val="Heading3"/>
      </w:pPr>
      <w:bookmarkStart w:id="444" w:name="b443"/>
      <w:r>
        <w:t>§ 396 Voraussetzungen</w:t>
      </w:r>
      <w:r>
        <w:t xml:space="preserve"> </w:t>
      </w:r>
      <w:r>
        <w:rPr>
          <w:rStyle w:val="Suchmarke"/>
        </w:rPr>
        <w:t>#396#</w:t>
      </w:r>
      <w:bookmarkEnd w:id="444"/>
    </w:p>
    <w:p>
      <w:r>
        <w:t xml:space="preserve">(1) </w:t>
      </w:r>
      <w:r>
        <w:rPr>
          <w:rStyle w:val="Satznummer"/>
        </w:rPr>
        <w:t>1</w:t>
      </w:r>
      <w:r>
        <w:t xml:space="preserve">Gefährdet eine Aktiengesellschaft oder Kommanditgesellschaft auf Aktien durch gesetzwidriges Verhalten ihrer Verwaltungsträger das Gemeinwohl und sorgen der Aufsichtsrat und die Hauptversammlung nicht für eine Abberufung der Verwaltungsträger, so kann die Gesellschaft auf Antrag der zuständigen obersten Landesbehörde des Landes, in dem die Gesellschaft ihren Sitz hat, durch Urteil aufgelöst werden. </w:t>
      </w:r>
      <w:r>
        <w:rPr>
          <w:rStyle w:val="Satznummer"/>
        </w:rPr>
        <w:t>2</w:t>
      </w:r>
      <w:r>
        <w:t>Ausschließlich zuständig für die Klage ist das Landgericht, in dessen Bezirk die Gesellschaft ihren Sitz hat.</w:t>
      </w:r>
    </w:p>
    <w:p>
      <w:r>
        <w:t xml:space="preserve">(2) </w:t>
      </w:r>
      <w:r>
        <w:rPr>
          <w:rStyle w:val="Satznummer"/>
        </w:rPr>
        <w:t>1</w:t>
      </w:r>
      <w:r>
        <w:t xml:space="preserve">Nach der Auflösung findet die Abwicklung nach den </w:t>
      </w:r>
      <w:hyperlink w:anchor="b339" w:history="1">
        <w:r>
          <w:rPr>
            <w:color w:val="0A3A8C"/>
            <w:u w:val="single"/>
          </w:rPr>
          <w:t xml:space="preserve">§§ 264</w:t>
        </w:r>
      </w:hyperlink>
      <w:r>
        <w:t xml:space="preserve"> bis </w:t>
      </w:r>
      <w:hyperlink w:anchor="b348" w:history="1">
        <w:r>
          <w:rPr>
            <w:color w:val="0A3A8C"/>
            <w:u w:val="single"/>
          </w:rPr>
          <w:t xml:space="preserve">273</w:t>
        </w:r>
      </w:hyperlink>
      <w:r>
        <w:t xml:space="preserve"> statt. </w:t>
      </w:r>
      <w:r>
        <w:rPr>
          <w:rStyle w:val="Satznummer"/>
        </w:rPr>
        <w:t>2</w:t>
      </w:r>
      <w:r>
        <w:t>Den Antrag auf Abberufung oder Bestellung der Abwickler aus einem wichtigen Grund kann auch die in Absatz 1 Satz 1 bestimmte Behörde stellen.</w:t>
      </w:r>
    </w:p>
    <w:p>
      <w:pPr>
        <w:pStyle w:val="Heading3"/>
      </w:pPr>
      <w:bookmarkStart w:id="445" w:name="b444"/>
      <w:r>
        <w:t>§ 397 Anordnungen bei der Auflösung</w:t>
      </w:r>
      <w:r>
        <w:t xml:space="preserve"> </w:t>
      </w:r>
      <w:r>
        <w:rPr>
          <w:rStyle w:val="Suchmarke"/>
        </w:rPr>
        <w:t>#397#</w:t>
      </w:r>
      <w:bookmarkEnd w:id="445"/>
    </w:p>
    <w:p>
      <w:r>
        <w:t xml:space="preserve">Ist die Auflösungsklage erhoben, so kann das Gericht auf Antrag der in </w:t>
      </w:r>
      <w:hyperlink w:anchor="b443" w:history="1">
        <w:r>
          <w:rPr>
            <w:color w:val="0A3A8C"/>
            <w:u w:val="single"/>
          </w:rPr>
          <w:t xml:space="preserve">§ 396</w:t>
        </w:r>
      </w:hyperlink>
      <w:r>
        <w:t xml:space="preserve"> Abs. 1 Satz 1 bestimmten Behörde durch einstweilige Verfügung die nötigen Anordnungen treffen.</w:t>
      </w:r>
    </w:p>
    <w:p>
      <w:pPr>
        <w:pStyle w:val="Heading3"/>
      </w:pPr>
      <w:bookmarkStart w:id="446" w:name="b445"/>
      <w:r>
        <w:t>§ 398 Eintragung</w:t>
      </w:r>
      <w:r>
        <w:t xml:space="preserve"> </w:t>
      </w:r>
      <w:r>
        <w:rPr>
          <w:rStyle w:val="Suchmarke"/>
        </w:rPr>
        <w:t>#398#</w:t>
      </w:r>
      <w:bookmarkEnd w:id="446"/>
    </w:p>
    <w:p>
      <w:r>
        <w:rPr>
          <w:rStyle w:val="Satznummer"/>
        </w:rPr>
        <w:t>1</w:t>
      </w:r>
      <w:r>
        <w:t xml:space="preserve">Die Entscheidungen des Gerichts sind dem Registergericht mitzuteilen. </w:t>
      </w:r>
      <w:r>
        <w:rPr>
          <w:rStyle w:val="Satznummer"/>
        </w:rPr>
        <w:t>2</w:t>
      </w:r>
      <w:r>
        <w:t>Dieses trägt sie, soweit sie eintragungspflichtige Rechtsverhältnisse betreffen, in das Handelsregister ein.</w:t>
      </w:r>
    </w:p>
    <w:p>
      <w:pPr>
        <w:pStyle w:val="Heading2"/>
      </w:pPr>
      <w:bookmarkStart w:id="447" w:name="b446"/>
      <w:r>
        <w:t>Dritter Teil Straf- und Bußgeldvorschriften. Schlußvorschriften</w:t>
      </w:r>
      <w:bookmarkEnd w:id="447"/>
    </w:p>
    <w:p>
      <w:pPr>
        <w:pStyle w:val="Heading3"/>
      </w:pPr>
      <w:bookmarkStart w:id="448" w:name="b447"/>
      <w:r>
        <w:t>§ 399 Falsche Angaben</w:t>
      </w:r>
      <w:r>
        <w:t xml:space="preserve"> </w:t>
      </w:r>
      <w:r>
        <w:rPr>
          <w:rStyle w:val="Suchmarke"/>
        </w:rPr>
        <w:t>#399#</w:t>
      </w:r>
      <w:bookmarkEnd w:id="448"/>
    </w:p>
    <w:p>
      <w:r>
        <w:t>(1) Mit Freiheitsstrafe bis zu drei Jahren oder mit Geldstrafe wird bestraft, wer</w:t>
      </w:r>
    </w:p>
    <w:p>
      <w:pPr>
        <w:tabs>
          <w:tab w:pos="567" w:val="left"/>
        </w:tabs>
        <w:ind w:left="567" w:hanging="567"/>
      </w:pPr>
      <w:r>
        <w:t>1.</w:t>
      </w:r>
      <w:r>
        <w:tab/>
      </w:r>
      <w:r>
        <w:t xml:space="preserve">als Gründer oder als Mitglied des Vorstands oder des Aufsichtsrats zum Zweck der Eintragung der Gesellschaft oder eines Vertrags nach </w:t>
      </w:r>
      <w:hyperlink w:anchor="b57" w:history="1">
        <w:r>
          <w:rPr>
            <w:color w:val="0A3A8C"/>
            <w:u w:val="single"/>
          </w:rPr>
          <w:t xml:space="preserve">§ 52</w:t>
        </w:r>
      </w:hyperlink>
      <w:r>
        <w:t xml:space="preserve"> Absatz 1 Satz 1 über die Übernahme der Aktien, die Einzahlung auf Aktien, die Verwendung eingezahlter Beträge, den Ausgabebetrag der Aktien, über Sondervorteile, Gründungsaufwand, Sacheinlagen und Sachübernahmen oder in der nach </w:t>
      </w:r>
      <w:hyperlink w:anchor="b43" w:history="1">
        <w:r>
          <w:rPr>
            <w:color w:val="0A3A8C"/>
            <w:u w:val="single"/>
          </w:rPr>
          <w:t xml:space="preserve">§ 37a</w:t>
        </w:r>
      </w:hyperlink>
      <w:r>
        <w:t xml:space="preserve"> Absatz 2, auch in Verbindung mit </w:t>
      </w:r>
      <w:hyperlink w:anchor="b57" w:history="1">
        <w:r>
          <w:rPr>
            <w:color w:val="0A3A8C"/>
            <w:u w:val="single"/>
          </w:rPr>
          <w:t xml:space="preserve">§ 52</w:t>
        </w:r>
      </w:hyperlink>
      <w:r>
        <w:t xml:space="preserve"> Absatz 6 Satz 3, abzugebenden Versicherung,</w:t>
      </w:r>
    </w:p>
    <w:p>
      <w:pPr>
        <w:tabs>
          <w:tab w:pos="567" w:val="left"/>
        </w:tabs>
        <w:ind w:left="567" w:hanging="567"/>
      </w:pPr>
      <w:r>
        <w:t>2.</w:t>
      </w:r>
      <w:r>
        <w:tab/>
      </w:r>
      <w:r>
        <w:t>als Gründer oder als Mitglied des Vorstands oder des Aufsichtsrats im Gründungsbericht, im Nachgründungsbericht oder im Prüfungsbericht,</w:t>
      </w:r>
    </w:p>
    <w:p>
      <w:pPr>
        <w:tabs>
          <w:tab w:pos="567" w:val="left"/>
        </w:tabs>
        <w:ind w:left="567" w:hanging="567"/>
      </w:pPr>
      <w:r>
        <w:t>3.</w:t>
      </w:r>
      <w:r>
        <w:tab/>
      </w:r>
      <w:r>
        <w:t xml:space="preserve">in der öffentlichen Ankündigung nach </w:t>
      </w:r>
      <w:hyperlink w:anchor="b52" w:history="1">
        <w:r>
          <w:rPr>
            <w:color w:val="0A3A8C"/>
            <w:u w:val="single"/>
          </w:rPr>
          <w:t xml:space="preserve">§ 47</w:t>
        </w:r>
      </w:hyperlink>
      <w:r>
        <w:t xml:space="preserve"> Nr. 3,</w:t>
      </w:r>
    </w:p>
    <w:p>
      <w:pPr>
        <w:tabs>
          <w:tab w:pos="567" w:val="left"/>
        </w:tabs>
        <w:ind w:left="567" w:hanging="567"/>
      </w:pPr>
      <w:r>
        <w:t>4.</w:t>
      </w:r>
      <w:r>
        <w:tab/>
      </w:r>
      <w:r>
        <w:t>als Mitglied des Vorstands oder des Aufsichtsrats zum Zweck der Eintragung einer Erhöhung des Grundkapitals (</w:t>
      </w:r>
      <w:hyperlink w:anchor="b232" w:history="1">
        <w:r>
          <w:rPr>
            <w:color w:val="0A3A8C"/>
            <w:u w:val="single"/>
          </w:rPr>
          <w:t xml:space="preserve">§§ 182</w:t>
        </w:r>
      </w:hyperlink>
      <w:r>
        <w:t xml:space="preserve"> bis </w:t>
      </w:r>
      <w:hyperlink w:anchor="b259" w:history="1">
        <w:r>
          <w:rPr>
            <w:color w:val="0A3A8C"/>
            <w:u w:val="single"/>
          </w:rPr>
          <w:t xml:space="preserve">206</w:t>
        </w:r>
      </w:hyperlink>
      <w:r>
        <w:t xml:space="preserve">) über die Einbringung des bisherigen, die Zeichnung oder Einbringung des neuen Kapitals, den Ausgabebetrag der Aktien, die Ausgabe der Bezugsaktien, über Sacheinlagen, in der Bekanntmachung nach </w:t>
      </w:r>
      <w:hyperlink w:anchor="b234" w:history="1">
        <w:r>
          <w:rPr>
            <w:color w:val="0A3A8C"/>
            <w:u w:val="single"/>
          </w:rPr>
          <w:t xml:space="preserve">§ 183a</w:t>
        </w:r>
      </w:hyperlink>
      <w:r>
        <w:t xml:space="preserve"> Abs. 2 Satz 1 in Verbindung mit </w:t>
      </w:r>
      <w:hyperlink w:anchor="b43" w:history="1">
        <w:r>
          <w:rPr>
            <w:color w:val="0A3A8C"/>
            <w:u w:val="single"/>
          </w:rPr>
          <w:t xml:space="preserve">§ 37a</w:t>
        </w:r>
      </w:hyperlink>
      <w:r>
        <w:t xml:space="preserve"> Abs. 2 oder in der nach </w:t>
      </w:r>
      <w:hyperlink w:anchor="b235" w:history="1">
        <w:r>
          <w:rPr>
            <w:color w:val="0A3A8C"/>
            <w:u w:val="single"/>
          </w:rPr>
          <w:t xml:space="preserve">§ 184</w:t>
        </w:r>
      </w:hyperlink>
      <w:r>
        <w:t xml:space="preserve"> Abs. 1 Satz 3 abzugebenden Versicherung,</w:t>
      </w:r>
    </w:p>
    <w:p>
      <w:pPr>
        <w:tabs>
          <w:tab w:pos="567" w:val="left"/>
        </w:tabs>
        <w:ind w:left="567" w:hanging="567"/>
      </w:pPr>
      <w:r>
        <w:t>5.</w:t>
      </w:r>
      <w:r>
        <w:tab/>
      </w:r>
      <w:r>
        <w:t xml:space="preserve">als Abwickler zum Zweck der Eintragung der Fortsetzung der Gesellschaft in dem nach </w:t>
      </w:r>
      <w:hyperlink w:anchor="b349" w:history="1">
        <w:r>
          <w:rPr>
            <w:color w:val="0A3A8C"/>
            <w:u w:val="single"/>
          </w:rPr>
          <w:t xml:space="preserve">§ 274</w:t>
        </w:r>
      </w:hyperlink>
      <w:r>
        <w:t xml:space="preserve"> Abs. 3 zu führenden Nachweis oder</w:t>
      </w:r>
    </w:p>
    <w:p>
      <w:pPr>
        <w:tabs>
          <w:tab w:pos="567" w:val="left"/>
        </w:tabs>
        <w:ind w:left="567" w:hanging="567"/>
      </w:pPr>
      <w:r>
        <w:t>6.</w:t>
      </w:r>
      <w:r>
        <w:tab/>
      </w:r>
      <w:r>
        <w:t xml:space="preserve">als Mitglied des Vorstands einer Aktiengesellschaft oder des Leitungsorgans einer ausländischen juristischen Person in der nach </w:t>
      </w:r>
      <w:hyperlink w:anchor="b42" w:history="1">
        <w:r>
          <w:rPr>
            <w:color w:val="0A3A8C"/>
            <w:u w:val="single"/>
          </w:rPr>
          <w:t xml:space="preserve">§ 37</w:t>
        </w:r>
      </w:hyperlink>
      <w:r>
        <w:t xml:space="preserve"> Abs. 2 Satz 1 oder </w:t>
      </w:r>
      <w:hyperlink w:anchor="b101" w:history="1">
        <w:r>
          <w:rPr>
            <w:color w:val="0A3A8C"/>
            <w:u w:val="single"/>
          </w:rPr>
          <w:t xml:space="preserve">§ 81</w:t>
        </w:r>
      </w:hyperlink>
      <w:r>
        <w:t xml:space="preserve"> Abs. 3 Satz 1 abzugebenden Versicherung oder als Abwickler in der nach </w:t>
      </w:r>
      <w:hyperlink w:anchor="b341" w:history="1">
        <w:r>
          <w:rPr>
            <w:color w:val="0A3A8C"/>
            <w:u w:val="single"/>
          </w:rPr>
          <w:t xml:space="preserve">§ 266</w:t>
        </w:r>
      </w:hyperlink>
      <w:r>
        <w:t xml:space="preserve"> Abs. 3 Satz 1 abzugebenden Versicherung</w:t>
      </w:r>
    </w:p>
    <w:p>
      <w:r>
        <w:t>falsche Angaben macht oder erhebliche Umstände verschweigt.</w:t>
      </w:r>
    </w:p>
    <w:p>
      <w:r>
        <w:t xml:space="preserve">(2) Ebenso wird bestraft, wer als Mitglied des Vorstands oder des Aufsichtsrats zum Zweck der Eintragung einer Erhöhung des Grundkapitals die in </w:t>
      </w:r>
      <w:hyperlink w:anchor="b264" w:history="1">
        <w:r>
          <w:rPr>
            <w:color w:val="0A3A8C"/>
            <w:u w:val="single"/>
          </w:rPr>
          <w:t xml:space="preserve">§ 210</w:t>
        </w:r>
      </w:hyperlink>
      <w:r>
        <w:t xml:space="preserve"> Abs. 1 Satz 2 vorgeschriebene Erklärung der Wahrheit zuwider abgibt.</w:t>
      </w:r>
    </w:p>
    <w:p>
      <w:pPr>
        <w:pStyle w:val="Heading3"/>
      </w:pPr>
      <w:bookmarkStart w:id="449" w:name="b448"/>
      <w:r>
        <w:t>§ 400 Unrichtige Darstellung</w:t>
      </w:r>
      <w:r>
        <w:t xml:space="preserve"> </w:t>
      </w:r>
      <w:r>
        <w:rPr>
          <w:rStyle w:val="Suchmarke"/>
        </w:rPr>
        <w:t>#400#</w:t>
      </w:r>
      <w:bookmarkEnd w:id="449"/>
    </w:p>
    <w:p>
      <w:r>
        <w:t>(1) Mit Freiheitsstrafe bis zu drei Jahren oder mit Geldstrafe wird bestraft, wer als Mitglied des Vorstands oder des Aufsichtsrats oder als Abwickler</w:t>
      </w:r>
    </w:p>
    <w:p>
      <w:pPr>
        <w:tabs>
          <w:tab w:pos="567" w:val="left"/>
        </w:tabs>
        <w:ind w:left="567" w:hanging="567"/>
      </w:pPr>
      <w:r>
        <w:t>1.</w:t>
      </w:r>
      <w:r>
        <w:tab/>
      </w:r>
      <w:r>
        <w:t xml:space="preserve">die Verhältnisse der Gesellschaft einschließlich ihrer Beziehungen zu verbundenen Unternehmen im Vergütungsbericht nach </w:t>
      </w:r>
      <w:hyperlink w:anchor="b205" w:history="1">
        <w:r>
          <w:rPr>
            <w:color w:val="0A3A8C"/>
            <w:u w:val="single"/>
          </w:rPr>
          <w:t xml:space="preserve">§ 162</w:t>
        </w:r>
      </w:hyperlink>
      <w:r>
        <w:t xml:space="preserve"> Absatz 1 oder 2, in Darstellungen oder Übersichten über den Vermögensstand oder in Vorträgen oder Auskünften in der Hauptversammlung unrichtig wiedergibt oder verschleiert, wenn die Tat nicht in § 331 Nr. 1 oder 1a des Handelsgesetzbuchs mit Strafe bedroht ist, oder</w:t>
      </w:r>
    </w:p>
    <w:p>
      <w:pPr>
        <w:tabs>
          <w:tab w:pos="567" w:val="left"/>
        </w:tabs>
        <w:ind w:left="567" w:hanging="567"/>
      </w:pPr>
      <w:r>
        <w:t>2.</w:t>
      </w:r>
      <w:r>
        <w:tab/>
      </w:r>
      <w:r>
        <w:t>in Aufklärungen oder Nachweisen, die nach den Vorschriften dieses Gesetzes einem Prüfer der Gesellschaft oder eines verbundenen Unternehmens zu geben sind, falsche Angaben macht oder die Verhältnisse der Gesellschaft unrichtig wiedergibt oder verschleiert, wenn die Tat nicht in § 331 Nr. 4 des Handelsgesetzbuchs mit Strafe bedroht ist.</w:t>
      </w:r>
    </w:p>
    <w:p>
      <w:r>
        <w:t>(2) Ebenso wird bestraft, wer als Gründer oder Aktionär in Aufklärungen oder Nachweisen, die nach den Vorschriften dieses Gesetzes einem Gründungsprüfer oder sonstigen Prüfer zu geben sind, falsche Angaben macht oder erhebliche Umstände verschweigt.</w:t>
      </w:r>
    </w:p>
    <w:p>
      <w:pPr>
        <w:pStyle w:val="Heading3"/>
      </w:pPr>
      <w:bookmarkStart w:id="450" w:name="b449"/>
      <w:r>
        <w:t>§ 401 Pflichtverletzung bei Verlust, Überschuldung oder Zahlungsunfähigkeit</w:t>
      </w:r>
      <w:r>
        <w:t xml:space="preserve"> </w:t>
      </w:r>
      <w:r>
        <w:rPr>
          <w:rStyle w:val="Suchmarke"/>
        </w:rPr>
        <w:t>#401#</w:t>
      </w:r>
      <w:bookmarkEnd w:id="450"/>
    </w:p>
    <w:p>
      <w:r>
        <w:t xml:space="preserve">(1) Mit Freiheitsstrafe bis zu drei Jahren oder mit Geldstrafe wird bestraft, wer es als Mitglied des Vorstands entgegen </w:t>
      </w:r>
      <w:hyperlink w:anchor="b113" w:history="1">
        <w:r>
          <w:rPr>
            <w:color w:val="0A3A8C"/>
            <w:u w:val="single"/>
          </w:rPr>
          <w:t xml:space="preserve">§ 92</w:t>
        </w:r>
      </w:hyperlink>
      <w:r>
        <w:t xml:space="preserve"> Abs. 1 unterläßt, bei einem Verlust in Höhe der Hälfte des Grundkapitals die Hauptversammlung einzuberufen und ihr dies anzuzeigen.</w:t>
      </w:r>
    </w:p>
    <w:p>
      <w:r>
        <w:t>(2) Handelt der Täter fahrlässig, so ist die Strafe Freiheitsstrafe bis zu einem Jahr oder Geldstrafe.</w:t>
      </w:r>
    </w:p>
    <w:p>
      <w:pPr>
        <w:pStyle w:val="Heading3"/>
      </w:pPr>
      <w:bookmarkStart w:id="451" w:name="b450"/>
      <w:r>
        <w:t>§ 402 Falsche Ausstellung von Berechtigungsnachweisen</w:t>
      </w:r>
      <w:r>
        <w:t xml:space="preserve"> </w:t>
      </w:r>
      <w:r>
        <w:rPr>
          <w:rStyle w:val="Suchmarke"/>
        </w:rPr>
        <w:t>#402#</w:t>
      </w:r>
      <w:bookmarkEnd w:id="451"/>
    </w:p>
    <w:p>
      <w:r>
        <w:t>(1) Wer Bescheinigungen, die zum Nachweis des Stimmrechts in einer Hauptversammlung oder in einer gesonderten Versammlung dienen sollen, falsch ausstellt oder verfälscht, wird mit Freiheitsstrafe bis zu drei Jahren oder mit Geldstrafe bestraft, wenn die Tat nicht in anderen Vorschriften über Urkundenstraftaten mit schwererer Strafe bedroht ist.</w:t>
      </w:r>
    </w:p>
    <w:p>
      <w:r>
        <w:t>(2) Ebenso wird bestraft, wer von einer falschen oder verfälschten Bescheinigung der in Absatz 1 bezeichneten Art zur Ausübung des Stimmrechts Gebrauch macht.</w:t>
      </w:r>
    </w:p>
    <w:p>
      <w:r>
        <w:t>(3) Der Versuch ist strafbar.</w:t>
      </w:r>
    </w:p>
    <w:p>
      <w:pPr>
        <w:pStyle w:val="Heading3"/>
      </w:pPr>
      <w:bookmarkStart w:id="452" w:name="b451"/>
      <w:r>
        <w:t>§ 403 Verletzung der Berichtspflicht</w:t>
      </w:r>
      <w:r>
        <w:t xml:space="preserve"> </w:t>
      </w:r>
      <w:r>
        <w:rPr>
          <w:rStyle w:val="Suchmarke"/>
        </w:rPr>
        <w:t>#403#</w:t>
      </w:r>
      <w:bookmarkEnd w:id="452"/>
    </w:p>
    <w:p>
      <w:r>
        <w:t>(1) Mit Freiheitsstrafe bis zu drei Jahren oder mit Geldstrafe wird bestraft, wer als Prüfer oder als Gehilfe eines Prüfers über das Ergebnis der Prüfung falsch berichtet oder erhebliche Umstände im Bericht verschweigt.</w:t>
      </w:r>
    </w:p>
    <w:p>
      <w:r>
        <w:t>(2) Handelt der Täter gegen Entgelt oder in der Absicht, sich oder einen anderen zu bereichern oder einen anderen zu schädigen, so ist die Strafe Freiheitsstrafe bis zu fünf Jahren oder Geldstrafe.</w:t>
      </w:r>
    </w:p>
    <w:p>
      <w:pPr>
        <w:pStyle w:val="Heading3"/>
      </w:pPr>
      <w:bookmarkStart w:id="453" w:name="b452"/>
      <w:r>
        <w:t>§ 404 Verletzung der Geheimhaltungspflicht</w:t>
      </w:r>
      <w:r>
        <w:t xml:space="preserve"> </w:t>
      </w:r>
      <w:r>
        <w:rPr>
          <w:rStyle w:val="Suchmarke"/>
        </w:rPr>
        <w:t>#404#</w:t>
      </w:r>
      <w:bookmarkEnd w:id="453"/>
    </w:p>
    <w:p>
      <w:r>
        <w:t>(1) Mit Freiheitsstrafe bis zu einem Jahr, bei börsennotierten Gesellschaften bis zu zwei Jahren, oder mit Geldstrafe wird bestraft, wer ein Geheimnis der Gesellschaft, namentlich ein Betriebs- oder Geschäftsgeheimnis, das ihm in seiner Eigenschaft als</w:t>
      </w:r>
    </w:p>
    <w:p>
      <w:pPr>
        <w:tabs>
          <w:tab w:pos="567" w:val="left"/>
        </w:tabs>
        <w:ind w:left="567" w:hanging="567"/>
      </w:pPr>
      <w:r>
        <w:t>1.</w:t>
      </w:r>
      <w:r>
        <w:tab/>
      </w:r>
      <w:r>
        <w:t>Mitglied des Vorstands oder des Aufsichtsrats oder Abwickler,</w:t>
      </w:r>
    </w:p>
    <w:p>
      <w:pPr>
        <w:tabs>
          <w:tab w:pos="567" w:val="left"/>
        </w:tabs>
        <w:ind w:left="567" w:hanging="567"/>
      </w:pPr>
      <w:r>
        <w:t>2.</w:t>
      </w:r>
      <w:r>
        <w:tab/>
      </w:r>
      <w:r>
        <w:t>Prüfer oder Gehilfe eines Prüfers</w:t>
      </w:r>
    </w:p>
    <w:p>
      <w:r>
        <w:t>bekanntgeworden ist, unbefugt offenbart; im Falle der Nummer 2 jedoch nur, wenn die Tat nicht in § 333 des Handelsgesetzbuchs mit Strafe bedroht ist.</w:t>
      </w:r>
    </w:p>
    <w:p>
      <w:r>
        <w:t xml:space="preserve">(2) </w:t>
      </w:r>
      <w:r>
        <w:rPr>
          <w:rStyle w:val="Satznummer"/>
        </w:rPr>
        <w:t>1</w:t>
      </w:r>
      <w:r>
        <w:t xml:space="preserve">Handelt der Täter gegen Entgelt oder in der Absicht, sich oder einen anderen zu bereichern oder einen anderen zu schädigen, so ist die Strafe Freiheitsstrafe bis zu zwei Jahren, bei börsennotierten Gesellschaften bis zu drei Jahren, oder Geldstrafe. </w:t>
      </w:r>
      <w:r>
        <w:rPr>
          <w:rStyle w:val="Satznummer"/>
        </w:rPr>
        <w:t>2</w:t>
      </w:r>
      <w:r>
        <w:t>Ebenso wird bestraft, wer ein Geheimnis der in Absatz 1 bezeichneten Art, namentlich ein Betriebs- oder Geschäftsgeheimnis, das ihm unter den Voraussetzungen des Absatzes 1 bekanntgeworden ist, unbefugt verwertet.</w:t>
      </w:r>
    </w:p>
    <w:p>
      <w:r>
        <w:t xml:space="preserve">(3) </w:t>
      </w:r>
      <w:r>
        <w:rPr>
          <w:rStyle w:val="Satznummer"/>
        </w:rPr>
        <w:t>1</w:t>
      </w:r>
      <w:r>
        <w:t xml:space="preserve">Die Tat wird nur auf Antrag der Gesellschaft verfolgt. </w:t>
      </w:r>
      <w:r>
        <w:rPr>
          <w:rStyle w:val="Satznummer"/>
        </w:rPr>
        <w:t>2</w:t>
      </w:r>
      <w:r>
        <w:t>Hat ein Mitglied des Vorstands oder ein Abwickler die Tat begangen, so ist der Aufsichtsrat, hat ein Mitglied des Aufsichtsrats die Tat begangen, so sind der Vorstand oder die Abwickler antragsberechtigt.</w:t>
      </w:r>
    </w:p>
    <w:p>
      <w:pPr>
        <w:pStyle w:val="Heading3"/>
      </w:pPr>
      <w:bookmarkStart w:id="454" w:name="b453"/>
      <w:r>
        <w:t>§ 404a Verletzung der Pflichten bei Abschlussprüfungen</w:t>
      </w:r>
      <w:r>
        <w:t xml:space="preserve"> </w:t>
      </w:r>
      <w:r>
        <w:rPr>
          <w:rStyle w:val="Suchmarke"/>
        </w:rPr>
        <w:t>#404a#</w:t>
      </w:r>
      <w:bookmarkEnd w:id="454"/>
    </w:p>
    <w:p>
      <w:r>
        <w:t>(1) Mit Freiheitsstrafe bis zu einem Jahr oder mit Geldstrafe wird bestraft, wer als Mitglied des Prüfungsausschusses einer Gesellschaft, die Unternehmen von öffentlichem Interesse nach § 316a Satz 2 des Handelsgesetzbuchs ist,</w:t>
      </w:r>
    </w:p>
    <w:p>
      <w:pPr>
        <w:tabs>
          <w:tab w:pos="567" w:val="left"/>
        </w:tabs>
        <w:ind w:left="567" w:hanging="567"/>
      </w:pPr>
      <w:r>
        <w:t>1.</w:t>
      </w:r>
      <w:r>
        <w:tab/>
      </w:r>
      <w:r>
        <w:t xml:space="preserve">eine in </w:t>
      </w:r>
      <w:hyperlink w:anchor="b454" w:history="1">
        <w:r>
          <w:rPr>
            <w:color w:val="0A3A8C"/>
            <w:u w:val="single"/>
          </w:rPr>
          <w:t xml:space="preserve">§ 405</w:t>
        </w:r>
      </w:hyperlink>
      <w:r>
        <w:t xml:space="preserve"> Absatz 3b bezeichnete Handlung begeht und dafür einen Vermögensvorteil erhält oder sich versprechen lässt oder</w:t>
      </w:r>
    </w:p>
    <w:p>
      <w:pPr>
        <w:tabs>
          <w:tab w:pos="567" w:val="left"/>
        </w:tabs>
        <w:ind w:left="567" w:hanging="567"/>
      </w:pPr>
      <w:r>
        <w:t>2.</w:t>
      </w:r>
      <w:r>
        <w:tab/>
      </w:r>
      <w:r>
        <w:t xml:space="preserve">eine in </w:t>
      </w:r>
      <w:hyperlink w:anchor="b454" w:history="1">
        <w:r>
          <w:rPr>
            <w:color w:val="0A3A8C"/>
            <w:u w:val="single"/>
          </w:rPr>
          <w:t xml:space="preserve">§ 405</w:t>
        </w:r>
      </w:hyperlink>
      <w:r>
        <w:t xml:space="preserve"> Absatz 3b bezeichnete Handlung beharrlich wiederholt.</w:t>
      </w:r>
    </w:p>
    <w:p>
      <w:r>
        <w:t>(2) Ebenso wird bestraft, wer als Mitglied des Aufsichtsrats einer Gesellschaft, die Unternehmen von öffentlichem Interesse nach § 316a Satz 2 des Handelsgesetzbuchs ist,</w:t>
      </w:r>
    </w:p>
    <w:p>
      <w:pPr>
        <w:tabs>
          <w:tab w:pos="567" w:val="left"/>
        </w:tabs>
        <w:ind w:left="567" w:hanging="567"/>
      </w:pPr>
      <w:r>
        <w:t>1.</w:t>
      </w:r>
      <w:r>
        <w:tab/>
      </w:r>
      <w:r>
        <w:t xml:space="preserve">eine in </w:t>
      </w:r>
      <w:hyperlink w:anchor="b454" w:history="1">
        <w:r>
          <w:rPr>
            <w:color w:val="0A3A8C"/>
            <w:u w:val="single"/>
          </w:rPr>
          <w:t xml:space="preserve">§ 405</w:t>
        </w:r>
      </w:hyperlink>
      <w:r>
        <w:t xml:space="preserve"> Absatz 3c bezeichnete Handlung begeht und dafür einen Vermögensvorteil erhält oder sich versprechen lässt oder</w:t>
      </w:r>
    </w:p>
    <w:p>
      <w:pPr>
        <w:tabs>
          <w:tab w:pos="567" w:val="left"/>
        </w:tabs>
        <w:ind w:left="567" w:hanging="567"/>
      </w:pPr>
      <w:r>
        <w:t>2.</w:t>
      </w:r>
      <w:r>
        <w:tab/>
      </w:r>
      <w:r>
        <w:t xml:space="preserve">eine in </w:t>
      </w:r>
      <w:hyperlink w:anchor="b454" w:history="1">
        <w:r>
          <w:rPr>
            <w:color w:val="0A3A8C"/>
            <w:u w:val="single"/>
          </w:rPr>
          <w:t xml:space="preserve">§ 405</w:t>
        </w:r>
      </w:hyperlink>
      <w:r>
        <w:t xml:space="preserve"> Absatz 3c bezeichnete Handlung beharrlich wiederholt.</w:t>
      </w:r>
    </w:p>
    <w:p>
      <w:pPr>
        <w:pStyle w:val="Heading3"/>
      </w:pPr>
      <w:bookmarkStart w:id="455" w:name="b454"/>
      <w:r>
        <w:t>§ 405 Ordnungswidrigkeiten</w:t>
      </w:r>
      <w:r>
        <w:t xml:space="preserve"> </w:t>
      </w:r>
      <w:r>
        <w:rPr>
          <w:rStyle w:val="Suchmarke"/>
        </w:rPr>
        <w:t>#405#</w:t>
      </w:r>
      <w:bookmarkEnd w:id="455"/>
    </w:p>
    <w:p>
      <w:r>
        <w:t>(1) Ordnungswidrig handelt, wer als Mitglied des Vorstands oder des Aufsichtsrats oder als Abwickler</w:t>
      </w:r>
    </w:p>
    <w:p>
      <w:pPr>
        <w:tabs>
          <w:tab w:pos="567" w:val="left"/>
        </w:tabs>
        <w:ind w:left="567" w:hanging="567"/>
      </w:pPr>
      <w:r>
        <w:t>1.</w:t>
      </w:r>
      <w:r>
        <w:tab/>
      </w:r>
      <w:r>
        <w:t>Namensaktien ausgibt, in denen der Betrag der Teilleistung nicht angegeben ist, oder Inhaberaktien ausgibt, bevor auf sie der Ausgabebetrag voll geleistet ist,</w:t>
      </w:r>
    </w:p>
    <w:p>
      <w:pPr>
        <w:tabs>
          <w:tab w:pos="567" w:val="left"/>
        </w:tabs>
        <w:ind w:left="567" w:hanging="567"/>
      </w:pPr>
      <w:r>
        <w:t>2.</w:t>
      </w:r>
      <w:r>
        <w:tab/>
      </w:r>
      <w:r>
        <w:t>Aktien oder Zwischenscheine ausgibt, bevor die Gesellschaft oder im Fall einer Kapitalerhöhung die Durchführung der Erhöhung des Grundkapitals oder im Fall einer bedingten Kapitalerhöhung oder einer Kapitalerhöhung aus Gesellschaftsmitteln der Beschluß über die bedingte Kapitalerhöhung oder die Kapitalerhöhung aus Gesellschaftsmitteln eingetragen ist,</w:t>
      </w:r>
    </w:p>
    <w:p>
      <w:pPr>
        <w:tabs>
          <w:tab w:pos="567" w:val="left"/>
        </w:tabs>
        <w:ind w:left="567" w:hanging="567"/>
      </w:pPr>
      <w:r>
        <w:t>3.</w:t>
      </w:r>
      <w:r>
        <w:tab/>
      </w:r>
      <w:r>
        <w:t xml:space="preserve">Aktien oder Zwischenscheine ausgibt, die auf einen geringeren als den nach </w:t>
      </w:r>
      <w:hyperlink w:anchor="b10" w:history="1">
        <w:r>
          <w:rPr>
            <w:color w:val="0A3A8C"/>
            <w:u w:val="single"/>
          </w:rPr>
          <w:t xml:space="preserve">§ 8</w:t>
        </w:r>
      </w:hyperlink>
      <w:r>
        <w:t xml:space="preserve"> Abs. 2 Satz 1 zulässigen Mindestnennbetrag lauten oder auf die bei einer Gesellschaft mit Stückaktien ein geringerer anteiliger Betrag des Grundkapitals als der nach </w:t>
      </w:r>
      <w:hyperlink w:anchor="b10" w:history="1">
        <w:r>
          <w:rPr>
            <w:color w:val="0A3A8C"/>
            <w:u w:val="single"/>
          </w:rPr>
          <w:t xml:space="preserve">§ 8</w:t>
        </w:r>
      </w:hyperlink>
      <w:r>
        <w:t xml:space="preserve"> Abs. 3 Satz 3 zulässige Mindestbetrag entfällt,</w:t>
      </w:r>
    </w:p>
    <w:p>
      <w:pPr>
        <w:tabs>
          <w:tab w:pos="567" w:val="left"/>
        </w:tabs>
        <w:ind w:left="567" w:hanging="567"/>
      </w:pPr>
      <w:r>
        <w:t>4.</w:t>
      </w:r>
      <w:r>
        <w:tab/>
      </w:r>
    </w:p>
    <w:p>
      <w:pPr>
        <w:tabs>
          <w:tab w:pos="1134" w:val="left"/>
        </w:tabs>
        <w:ind w:left="1134" w:hanging="567"/>
      </w:pPr>
      <w:r>
        <w:t>a)</w:t>
      </w:r>
      <w:r>
        <w:tab/>
      </w:r>
      <w:r>
        <w:t xml:space="preserve">entgegen </w:t>
      </w:r>
      <w:hyperlink w:anchor="b84" w:history="1">
        <w:r>
          <w:rPr>
            <w:color w:val="0A3A8C"/>
            <w:u w:val="single"/>
          </w:rPr>
          <w:t xml:space="preserve">§ 71</w:t>
        </w:r>
      </w:hyperlink>
      <w:r>
        <w:t xml:space="preserve"> Abs. 1 Nr. 1 bis 4 oder Abs. 2 eigene Aktien der Gesellschaft erwirbt oder, in Verbindung mit </w:t>
      </w:r>
      <w:hyperlink w:anchor="b89" w:history="1">
        <w:r>
          <w:rPr>
            <w:color w:val="0A3A8C"/>
            <w:u w:val="single"/>
          </w:rPr>
          <w:t xml:space="preserve">§ 71e</w:t>
        </w:r>
      </w:hyperlink>
      <w:r>
        <w:t xml:space="preserve"> Abs. 1, als Pfand nimmt,</w:t>
      </w:r>
    </w:p>
    <w:p>
      <w:pPr>
        <w:tabs>
          <w:tab w:pos="1134" w:val="left"/>
        </w:tabs>
        <w:ind w:left="1134" w:hanging="567"/>
      </w:pPr>
      <w:r>
        <w:t>b)</w:t>
      </w:r>
      <w:r>
        <w:tab/>
      </w:r>
      <w:r>
        <w:t>zu veräußernde eigene Aktien (</w:t>
      </w:r>
      <w:hyperlink w:anchor="b87" w:history="1">
        <w:r>
          <w:rPr>
            <w:color w:val="0A3A8C"/>
            <w:u w:val="single"/>
          </w:rPr>
          <w:t xml:space="preserve">§ 71c</w:t>
        </w:r>
      </w:hyperlink>
      <w:r>
        <w:t xml:space="preserve"> Abs. 1 und 2) nicht anbietet oder</w:t>
      </w:r>
    </w:p>
    <w:p>
      <w:pPr>
        <w:tabs>
          <w:tab w:pos="1134" w:val="left"/>
        </w:tabs>
        <w:ind w:left="1134" w:hanging="567"/>
      </w:pPr>
      <w:r>
        <w:t>c)</w:t>
      </w:r>
      <w:r>
        <w:tab/>
      </w:r>
      <w:r>
        <w:t>die zur Vorbereitung der Beschlußfassung über die Einziehung eigener Aktien (</w:t>
      </w:r>
      <w:hyperlink w:anchor="b87" w:history="1">
        <w:r>
          <w:rPr>
            <w:color w:val="0A3A8C"/>
            <w:u w:val="single"/>
          </w:rPr>
          <w:t xml:space="preserve">§ 71c</w:t>
        </w:r>
      </w:hyperlink>
      <w:r>
        <w:t xml:space="preserve"> Abs. 3) erforderlichen Maßnahmen nicht trifft,</w:t>
      </w:r>
    </w:p>
    <w:p>
      <w:pPr>
        <w:tabs>
          <w:tab w:pos="567" w:val="left"/>
        </w:tabs>
        <w:ind w:left="567" w:hanging="567"/>
      </w:pPr>
      <w:r>
        <w:t>5.</w:t>
      </w:r>
      <w:r>
        <w:tab/>
      </w:r>
      <w:r>
        <w:t xml:space="preserve">entgegen </w:t>
      </w:r>
      <w:hyperlink w:anchor="b150" w:history="1">
        <w:r>
          <w:rPr>
            <w:color w:val="0A3A8C"/>
            <w:u w:val="single"/>
          </w:rPr>
          <w:t xml:space="preserve">§ 120a</w:t>
        </w:r>
      </w:hyperlink>
      <w:r>
        <w:t xml:space="preserve"> Absatz 2 eine Veröffentlichung nicht, nicht richtig, nicht vollständig oder nicht rechtzeitig vornimmt oder</w:t>
      </w:r>
    </w:p>
    <w:p>
      <w:pPr>
        <w:tabs>
          <w:tab w:pos="567" w:val="left"/>
        </w:tabs>
        <w:ind w:left="567" w:hanging="567"/>
      </w:pPr>
      <w:r>
        <w:t>6.</w:t>
      </w:r>
      <w:r>
        <w:tab/>
      </w:r>
      <w:r>
        <w:t xml:space="preserve">entgegen </w:t>
      </w:r>
      <w:hyperlink w:anchor="b205" w:history="1">
        <w:r>
          <w:rPr>
            <w:color w:val="0A3A8C"/>
            <w:u w:val="single"/>
          </w:rPr>
          <w:t xml:space="preserve">§ 162</w:t>
        </w:r>
      </w:hyperlink>
      <w:r>
        <w:t xml:space="preserve"> Absatz 4 einen dort genannten Bericht oder Vermerk nicht oder nicht mindestens zehn Jahre zugänglich macht.</w:t>
      </w:r>
    </w:p>
    <w:p>
      <w:r>
        <w:t>(2) Ordnungswidrig handelt auch, wer als Aktionär oder als Vertreter eines Aktionärs die nach § 129 in das Verzeichnis aufzunehmenden Angaben nicht oder nicht richtig macht.</w:t>
      </w:r>
    </w:p>
    <w:p>
      <w:r>
        <w:t>(2a) Ordnungswidrig handelt, wer</w:t>
      </w:r>
    </w:p>
    <w:p>
      <w:pPr>
        <w:tabs>
          <w:tab w:pos="567" w:val="left"/>
        </w:tabs>
        <w:ind w:left="567" w:hanging="567"/>
      </w:pPr>
      <w:r>
        <w:t>1.</w:t>
      </w:r>
      <w:r>
        <w:tab/>
      </w:r>
      <w:r>
        <w:t xml:space="preserve">entgegen </w:t>
      </w:r>
      <w:hyperlink w:anchor="b74" w:history="1">
        <w:r>
          <w:rPr>
            <w:color w:val="0A3A8C"/>
            <w:u w:val="single"/>
          </w:rPr>
          <w:t xml:space="preserve">§ 67</w:t>
        </w:r>
      </w:hyperlink>
      <w:r>
        <w:t xml:space="preserve"> Absatz 4 Satz 2 erster Halbsatz, auch in Verbindung mit Satz 3, eine Mitteilung nicht, nicht richtig, nicht vollständig oder nicht rechtzeitig macht,</w:t>
      </w:r>
    </w:p>
    <w:p>
      <w:pPr>
        <w:tabs>
          <w:tab w:pos="567" w:val="left"/>
        </w:tabs>
        <w:ind w:left="567" w:hanging="567"/>
      </w:pPr>
      <w:r>
        <w:t>2.</w:t>
      </w:r>
      <w:r>
        <w:tab/>
      </w:r>
      <w:r>
        <w:t xml:space="preserve">entgegen </w:t>
      </w:r>
      <w:hyperlink w:anchor="b75" w:history="1">
        <w:r>
          <w:rPr>
            <w:color w:val="0A3A8C"/>
            <w:u w:val="single"/>
          </w:rPr>
          <w:t xml:space="preserve">§ 67a</w:t>
        </w:r>
      </w:hyperlink>
      <w:r>
        <w:t xml:space="preserve"> Absatz 3 Satz 1, auch in Verbindung mit Satz 2, jeweils auch in Verbindung mit </w:t>
      </w:r>
      <w:hyperlink w:anchor="b157" w:history="1">
        <w:r>
          <w:rPr>
            <w:color w:val="0A3A8C"/>
            <w:u w:val="single"/>
          </w:rPr>
          <w:t xml:space="preserve">§ 125</w:t>
        </w:r>
      </w:hyperlink>
      <w:r>
        <w:t xml:space="preserve"> Absatz 5 Satz 3, oder entgegen </w:t>
      </w:r>
      <w:hyperlink w:anchor="b77" w:history="1">
        <w:r>
          <w:rPr>
            <w:color w:val="0A3A8C"/>
            <w:u w:val="single"/>
          </w:rPr>
          <w:t xml:space="preserve">§ 67c</w:t>
        </w:r>
      </w:hyperlink>
      <w:r>
        <w:t xml:space="preserve"> Absatz 1 Satz 2 oder </w:t>
      </w:r>
      <w:hyperlink w:anchor="b78" w:history="1">
        <w:r>
          <w:rPr>
            <w:color w:val="0A3A8C"/>
            <w:u w:val="single"/>
          </w:rPr>
          <w:t xml:space="preserve">§ 67d</w:t>
        </w:r>
      </w:hyperlink>
      <w:r>
        <w:t xml:space="preserve"> Absatz 4 Satz 2 zweiter Halbsatz eine dort genannte Information nicht, nicht richtig, nicht vollständig oder nicht rechtzeitig weiterleitet,</w:t>
      </w:r>
    </w:p>
    <w:p>
      <w:pPr>
        <w:tabs>
          <w:tab w:pos="567" w:val="left"/>
        </w:tabs>
        <w:ind w:left="567" w:hanging="567"/>
      </w:pPr>
      <w:r>
        <w:t>3.</w:t>
      </w:r>
      <w:r>
        <w:tab/>
      </w:r>
      <w:r>
        <w:t xml:space="preserve">entgegen </w:t>
      </w:r>
      <w:hyperlink w:anchor="b76" w:history="1">
        <w:r>
          <w:rPr>
            <w:color w:val="0A3A8C"/>
            <w:u w:val="single"/>
          </w:rPr>
          <w:t xml:space="preserve">§ 67b</w:t>
        </w:r>
      </w:hyperlink>
      <w:r>
        <w:t xml:space="preserve"> Absatz 1 Satz 1, auch in Verbindung mit Absatz 2, jeweils auch in Verbindung mit </w:t>
      </w:r>
      <w:hyperlink w:anchor="b157" w:history="1">
        <w:r>
          <w:rPr>
            <w:color w:val="0A3A8C"/>
            <w:u w:val="single"/>
          </w:rPr>
          <w:t xml:space="preserve">§ 125</w:t>
        </w:r>
      </w:hyperlink>
      <w:r>
        <w:t xml:space="preserve"> Absatz 5 Satz 3, oder entgegen </w:t>
      </w:r>
      <w:hyperlink w:anchor="b77" w:history="1">
        <w:r>
          <w:rPr>
            <w:color w:val="0A3A8C"/>
            <w:u w:val="single"/>
          </w:rPr>
          <w:t xml:space="preserve">§ 67c</w:t>
        </w:r>
      </w:hyperlink>
      <w:r>
        <w:t xml:space="preserve"> Absatz 1 Satz 1 oder </w:t>
      </w:r>
      <w:hyperlink w:anchor="b78" w:history="1">
        <w:r>
          <w:rPr>
            <w:color w:val="0A3A8C"/>
            <w:u w:val="single"/>
          </w:rPr>
          <w:t xml:space="preserve">§ 67d</w:t>
        </w:r>
      </w:hyperlink>
      <w:r>
        <w:t xml:space="preserve"> Absatz 4 Satz 1 oder 3 eine dort genannte Information nicht, nicht richtig, nicht vollständig oder nicht rechtzeitig übermittelt,</w:t>
      </w:r>
    </w:p>
    <w:p>
      <w:pPr>
        <w:tabs>
          <w:tab w:pos="567" w:val="left"/>
        </w:tabs>
        <w:ind w:left="567" w:hanging="567"/>
      </w:pPr>
      <w:r>
        <w:t>4.</w:t>
      </w:r>
      <w:r>
        <w:tab/>
      </w:r>
      <w:r>
        <w:t xml:space="preserve">entgegen </w:t>
      </w:r>
      <w:hyperlink w:anchor="b77" w:history="1">
        <w:r>
          <w:rPr>
            <w:color w:val="0A3A8C"/>
            <w:u w:val="single"/>
          </w:rPr>
          <w:t xml:space="preserve">§ 67c</w:t>
        </w:r>
      </w:hyperlink>
      <w:r>
        <w:t xml:space="preserve"> Absatz 3 einen dort genannten Nachweis nicht, nicht richtig, nicht vollständig oder nicht rechtzeitig ausstellt,</w:t>
      </w:r>
    </w:p>
    <w:p>
      <w:pPr>
        <w:tabs>
          <w:tab w:pos="567" w:val="left"/>
        </w:tabs>
        <w:ind w:left="567" w:hanging="567"/>
      </w:pPr>
      <w:r>
        <w:t>5.</w:t>
      </w:r>
      <w:r>
        <w:tab/>
      </w:r>
      <w:r>
        <w:t xml:space="preserve">entgegen </w:t>
      </w:r>
      <w:hyperlink w:anchor="b78" w:history="1">
        <w:r>
          <w:rPr>
            <w:color w:val="0A3A8C"/>
            <w:u w:val="single"/>
          </w:rPr>
          <w:t xml:space="preserve">§ 67d</w:t>
        </w:r>
      </w:hyperlink>
      <w:r>
        <w:t xml:space="preserve"> Absatz 3 ein dort genanntes Informationsverlangen nicht, nicht richtig, nicht vollständig oder nicht rechtzeitig weiterleitet,</w:t>
      </w:r>
    </w:p>
    <w:p>
      <w:pPr>
        <w:tabs>
          <w:tab w:pos="567" w:val="left"/>
        </w:tabs>
        <w:ind w:left="567" w:hanging="567"/>
      </w:pPr>
      <w:r>
        <w:t>6.</w:t>
      </w:r>
      <w:r>
        <w:tab/>
      </w:r>
      <w:r>
        <w:t xml:space="preserve">entgegen </w:t>
      </w:r>
      <w:hyperlink w:anchor="b136" w:history="1">
        <w:r>
          <w:rPr>
            <w:color w:val="0A3A8C"/>
            <w:u w:val="single"/>
          </w:rPr>
          <w:t xml:space="preserve">§ 111c</w:t>
        </w:r>
      </w:hyperlink>
      <w:r>
        <w:t xml:space="preserve"> Absatz 1 Satz 1 eine Veröffentlichung nicht, nicht richtig, nicht vollständig oder nicht rechtzeitig vornimmt,</w:t>
      </w:r>
    </w:p>
    <w:p>
      <w:pPr>
        <w:tabs>
          <w:tab w:pos="567" w:val="left"/>
        </w:tabs>
        <w:ind w:left="567" w:hanging="567"/>
      </w:pPr>
      <w:r>
        <w:t>7.</w:t>
      </w:r>
      <w:r>
        <w:tab/>
      </w:r>
      <w:r>
        <w:t xml:space="preserve">entgegen </w:t>
      </w:r>
      <w:hyperlink w:anchor="b146" w:history="1">
        <w:r>
          <w:rPr>
            <w:color w:val="0A3A8C"/>
            <w:u w:val="single"/>
          </w:rPr>
          <w:t xml:space="preserve">§ 118</w:t>
        </w:r>
      </w:hyperlink>
      <w:r>
        <w:t xml:space="preserve"> Absatz 1 Satz 3 oder 4, jeweils auch in Verbindung mit Absatz 2 Satz 2, oder entgegen </w:t>
      </w:r>
      <w:hyperlink w:anchor="b163" w:history="1">
        <w:r>
          <w:rPr>
            <w:color w:val="0A3A8C"/>
            <w:u w:val="single"/>
          </w:rPr>
          <w:t xml:space="preserve">§ 129</w:t>
        </w:r>
      </w:hyperlink>
      <w:r>
        <w:t xml:space="preserve"> Absatz 5 Satz 2 oder 3 eine dort genannte Bestätigung nicht, nicht richtig, nicht vollständig, nicht in der vorgeschriebenen Weise oder nicht rechtzeitig erteilt oder nicht, nicht richtig, nicht vollständig oder nicht rechtzeitig übermittelt,</w:t>
      </w:r>
    </w:p>
    <w:p>
      <w:pPr>
        <w:tabs>
          <w:tab w:pos="567" w:val="left"/>
        </w:tabs>
        <w:ind w:left="567" w:hanging="567"/>
      </w:pPr>
      <w:r>
        <w:t>8.</w:t>
      </w:r>
      <w:r>
        <w:tab/>
      </w:r>
      <w:r>
        <w:t xml:space="preserve">entgegen </w:t>
      </w:r>
      <w:hyperlink w:anchor="b172" w:history="1">
        <w:r>
          <w:rPr>
            <w:color w:val="0A3A8C"/>
            <w:u w:val="single"/>
          </w:rPr>
          <w:t xml:space="preserve">§ 134b</w:t>
        </w:r>
      </w:hyperlink>
      <w:r>
        <w:t xml:space="preserve"> Absatz 5 Satz 1 eine Information nach </w:t>
      </w:r>
      <w:hyperlink w:anchor="b172" w:history="1">
        <w:r>
          <w:rPr>
            <w:color w:val="0A3A8C"/>
            <w:u w:val="single"/>
          </w:rPr>
          <w:t xml:space="preserve">§ 134b</w:t>
        </w:r>
      </w:hyperlink>
      <w:r>
        <w:t xml:space="preserve"> Absatz 1, 2 oder 4 nicht oder nicht mindestens drei Jahre zugänglich macht,</w:t>
      </w:r>
    </w:p>
    <w:p>
      <w:pPr>
        <w:tabs>
          <w:tab w:pos="567" w:val="left"/>
        </w:tabs>
        <w:ind w:left="567" w:hanging="567"/>
      </w:pPr>
      <w:r>
        <w:t>9.</w:t>
      </w:r>
      <w:r>
        <w:tab/>
      </w:r>
      <w:r>
        <w:t xml:space="preserve">entgegen </w:t>
      </w:r>
      <w:hyperlink w:anchor="b173" w:history="1">
        <w:r>
          <w:rPr>
            <w:color w:val="0A3A8C"/>
            <w:u w:val="single"/>
          </w:rPr>
          <w:t xml:space="preserve">§ 134c</w:t>
        </w:r>
      </w:hyperlink>
      <w:r>
        <w:t xml:space="preserve"> Absatz 3 Satz 1 eine Information nach </w:t>
      </w:r>
      <w:hyperlink w:anchor="b173" w:history="1">
        <w:r>
          <w:rPr>
            <w:color w:val="0A3A8C"/>
            <w:u w:val="single"/>
          </w:rPr>
          <w:t xml:space="preserve">§ 134c</w:t>
        </w:r>
      </w:hyperlink>
      <w:r>
        <w:t xml:space="preserve"> Absatz 1 oder 2 Satz 1 oder 3 nicht oder nicht mindestens drei Jahre zugänglich macht,</w:t>
      </w:r>
    </w:p>
    <w:p>
      <w:pPr>
        <w:tabs>
          <w:tab w:pos="567" w:val="left"/>
        </w:tabs>
        <w:ind w:left="567" w:hanging="567"/>
      </w:pPr>
      <w:r>
        <w:t>10.</w:t>
      </w:r>
      <w:r>
        <w:tab/>
      </w:r>
      <w:r>
        <w:t xml:space="preserve">entgegen </w:t>
      </w:r>
      <w:hyperlink w:anchor="b174" w:history="1">
        <w:r>
          <w:rPr>
            <w:color w:val="0A3A8C"/>
            <w:u w:val="single"/>
          </w:rPr>
          <w:t xml:space="preserve">§ 134d</w:t>
        </w:r>
      </w:hyperlink>
      <w:r>
        <w:t xml:space="preserve"> Absatz 3 eine dort genannte Information nicht oder nicht mindestens drei Jahre zugänglich macht,</w:t>
      </w:r>
    </w:p>
    <w:p>
      <w:pPr>
        <w:tabs>
          <w:tab w:pos="567" w:val="left"/>
        </w:tabs>
        <w:ind w:left="567" w:hanging="567"/>
      </w:pPr>
      <w:r>
        <w:t>11.</w:t>
      </w:r>
      <w:r>
        <w:tab/>
      </w:r>
      <w:r>
        <w:t xml:space="preserve">entgegen </w:t>
      </w:r>
      <w:hyperlink w:anchor="b174" w:history="1">
        <w:r>
          <w:rPr>
            <w:color w:val="0A3A8C"/>
            <w:u w:val="single"/>
          </w:rPr>
          <w:t xml:space="preserve">§ 134d</w:t>
        </w:r>
      </w:hyperlink>
      <w:r>
        <w:t xml:space="preserve"> Absatz 4 eine Information nicht, nicht richtig, nicht vollständig oder nicht rechtzeitig gibt oder</w:t>
      </w:r>
    </w:p>
    <w:p>
      <w:pPr>
        <w:tabs>
          <w:tab w:pos="567" w:val="left"/>
        </w:tabs>
        <w:ind w:left="567" w:hanging="567"/>
      </w:pPr>
      <w:r>
        <w:t>12.</w:t>
      </w:r>
      <w:r>
        <w:tab/>
      </w:r>
      <w:r>
        <w:t xml:space="preserve">entgegen </w:t>
      </w:r>
      <w:hyperlink w:anchor="b175" w:history="1">
        <w:r>
          <w:rPr>
            <w:color w:val="0A3A8C"/>
            <w:u w:val="single"/>
          </w:rPr>
          <w:t xml:space="preserve">§ 135</w:t>
        </w:r>
      </w:hyperlink>
      <w:r>
        <w:t xml:space="preserve"> Absatz 9 eine dort genannte Verpflichtung ausschließt oder beschränkt.</w:t>
      </w:r>
    </w:p>
    <w:p>
      <w:r>
        <w:t>(3) Ordnungswidrig handelt ferner, wer</w:t>
      </w:r>
    </w:p>
    <w:p>
      <w:pPr>
        <w:tabs>
          <w:tab w:pos="567" w:val="left"/>
        </w:tabs>
        <w:ind w:left="567" w:hanging="567"/>
      </w:pPr>
      <w:r>
        <w:t>1.</w:t>
      </w:r>
      <w:r>
        <w:tab/>
      </w:r>
      <w:r>
        <w:t>Aktien eines anderen, zu dessen Vertretung er nicht befugt ist, ohne dessen Einwilligung zur Ausübung von Rechten in der Hauptversammlung oder in einer gesonderten Versammlung benutzt,</w:t>
      </w:r>
    </w:p>
    <w:p>
      <w:pPr>
        <w:tabs>
          <w:tab w:pos="567" w:val="left"/>
        </w:tabs>
        <w:ind w:left="567" w:hanging="567"/>
      </w:pPr>
      <w:r>
        <w:t>2.</w:t>
      </w:r>
      <w:r>
        <w:tab/>
      </w:r>
      <w:r>
        <w:t>zur Ausübung von Rechten in der Hauptversammlung oder in einer gesonderten Versammlung Aktien eines anderen benutzt, die er sich zu diesem Zweck durch Gewähren oder Versprechen besonderer Vorteile verschafft hat,</w:t>
      </w:r>
    </w:p>
    <w:p>
      <w:pPr>
        <w:tabs>
          <w:tab w:pos="567" w:val="left"/>
        </w:tabs>
        <w:ind w:left="567" w:hanging="567"/>
      </w:pPr>
      <w:r>
        <w:t>3.</w:t>
      </w:r>
      <w:r>
        <w:tab/>
      </w:r>
      <w:r>
        <w:t>Aktien zu dem in Nummer 2 bezeichneten Zweck gegen Gewähren oder Versprechen besonderer Vorteile einem anderen überläßt,</w:t>
      </w:r>
    </w:p>
    <w:p>
      <w:pPr>
        <w:tabs>
          <w:tab w:pos="567" w:val="left"/>
        </w:tabs>
        <w:ind w:left="567" w:hanging="567"/>
      </w:pPr>
      <w:r>
        <w:t>4.</w:t>
      </w:r>
      <w:r>
        <w:tab/>
      </w:r>
      <w:r>
        <w:t xml:space="preserve">Aktien eines anderen, für die er oder der von ihm Vertretene das Stimmrecht nach </w:t>
      </w:r>
      <w:hyperlink w:anchor="b175" w:history="1">
        <w:r>
          <w:rPr>
            <w:color w:val="0A3A8C"/>
            <w:u w:val="single"/>
          </w:rPr>
          <w:t xml:space="preserve">§ 135</w:t>
        </w:r>
      </w:hyperlink>
      <w:r>
        <w:t xml:space="preserve"> nicht ausüben darf, zur Ausübung des Stimmrechts benutzt,</w:t>
      </w:r>
    </w:p>
    <w:p>
      <w:pPr>
        <w:tabs>
          <w:tab w:pos="567" w:val="left"/>
        </w:tabs>
        <w:ind w:left="567" w:hanging="567"/>
      </w:pPr>
      <w:r>
        <w:t>5.</w:t>
      </w:r>
      <w:r>
        <w:tab/>
      </w:r>
      <w:r>
        <w:t xml:space="preserve">Aktien, für die er oder der von ihm Vertretene das Stimmrecht nach </w:t>
      </w:r>
      <w:hyperlink w:anchor="b22" w:history="1">
        <w:r>
          <w:rPr>
            <w:color w:val="0A3A8C"/>
            <w:u w:val="single"/>
          </w:rPr>
          <w:t xml:space="preserve">§ 20</w:t>
        </w:r>
      </w:hyperlink>
      <w:r>
        <w:t xml:space="preserve"> Abs. 7, </w:t>
      </w:r>
      <w:hyperlink w:anchor="b23" w:history="1">
        <w:r>
          <w:rPr>
            <w:color w:val="0A3A8C"/>
            <w:u w:val="single"/>
          </w:rPr>
          <w:t xml:space="preserve">§ 21</w:t>
        </w:r>
      </w:hyperlink>
      <w:r>
        <w:t xml:space="preserve"> Abs. 4, </w:t>
      </w:r>
      <w:hyperlink w:anchor="b86" w:history="1">
        <w:r>
          <w:rPr>
            <w:color w:val="0A3A8C"/>
            <w:u w:val="single"/>
          </w:rPr>
          <w:t xml:space="preserve">§§ 71b</w:t>
        </w:r>
      </w:hyperlink>
      <w:r>
        <w:t xml:space="preserve">, </w:t>
      </w:r>
      <w:hyperlink w:anchor="b88" w:history="1">
        <w:r>
          <w:rPr>
            <w:color w:val="0A3A8C"/>
            <w:u w:val="single"/>
          </w:rPr>
          <w:t xml:space="preserve">71d</w:t>
        </w:r>
      </w:hyperlink>
      <w:r>
        <w:t xml:space="preserve"> Satz 4, </w:t>
      </w:r>
      <w:hyperlink w:anchor="b170" w:history="1">
        <w:r>
          <w:rPr>
            <w:color w:val="0A3A8C"/>
            <w:u w:val="single"/>
          </w:rPr>
          <w:t xml:space="preserve">§ 134</w:t>
        </w:r>
      </w:hyperlink>
      <w:r>
        <w:t xml:space="preserve"> Abs. 1, </w:t>
      </w:r>
      <w:hyperlink w:anchor="b175" w:history="1">
        <w:r>
          <w:rPr>
            <w:color w:val="0A3A8C"/>
            <w:u w:val="single"/>
          </w:rPr>
          <w:t xml:space="preserve">§§ 135</w:t>
        </w:r>
      </w:hyperlink>
      <w:r>
        <w:t xml:space="preserve">, </w:t>
      </w:r>
      <w:hyperlink w:anchor="b177" w:history="1">
        <w:r>
          <w:rPr>
            <w:color w:val="0A3A8C"/>
            <w:u w:val="single"/>
          </w:rPr>
          <w:t xml:space="preserve">136</w:t>
        </w:r>
      </w:hyperlink>
      <w:r>
        <w:t xml:space="preserve">, </w:t>
      </w:r>
      <w:hyperlink w:anchor="b186" w:history="1">
        <w:r>
          <w:rPr>
            <w:color w:val="0A3A8C"/>
            <w:u w:val="single"/>
          </w:rPr>
          <w:t xml:space="preserve">142</w:t>
        </w:r>
      </w:hyperlink>
      <w:r>
        <w:t xml:space="preserve"> Abs. 1 Satz 2, </w:t>
      </w:r>
      <w:hyperlink w:anchor="b362" w:history="1">
        <w:r>
          <w:rPr>
            <w:color w:val="0A3A8C"/>
            <w:u w:val="single"/>
          </w:rPr>
          <w:t xml:space="preserve">§ 285</w:t>
        </w:r>
      </w:hyperlink>
      <w:r>
        <w:t xml:space="preserve"> Abs. 1 nicht ausüben darf, einem anderen zum Zweck der Ausübung des Stimmrechts überläßt oder solche ihm überlassene Aktien zur Ausübung des Stimmrechts benutzt,</w:t>
      </w:r>
    </w:p>
    <w:p>
      <w:pPr>
        <w:tabs>
          <w:tab w:pos="567" w:val="left"/>
        </w:tabs>
        <w:ind w:left="567" w:hanging="567"/>
      </w:pPr>
      <w:r>
        <w:t>6.</w:t>
      </w:r>
      <w:r>
        <w:tab/>
      </w:r>
      <w:r>
        <w:t>besondere Vorteile als Gegenleistung dafür fordert, sich versprechen läßt oder annimmt, daß er bei einer Abstimmung in der Hauptversammlung oder in einer gesonderten Versammlung nicht oder in einem bestimmten Sinne stimme oder</w:t>
      </w:r>
    </w:p>
    <w:p>
      <w:pPr>
        <w:tabs>
          <w:tab w:pos="567" w:val="left"/>
        </w:tabs>
        <w:ind w:left="567" w:hanging="567"/>
      </w:pPr>
      <w:r>
        <w:t>7.</w:t>
      </w:r>
      <w:r>
        <w:tab/>
      </w:r>
      <w:r>
        <w:t>besondere Vorteile als Gegenleistung dafür anbietet, verspricht oder gewährt, daß jemand bei einer Abstimmung in der Hauptversammlung oder in einer gesonderten Versammlung nicht oder in einem bestimmten Sinne stimme.</w:t>
      </w:r>
    </w:p>
    <w:p>
      <w:r>
        <w:t>(3a) Ordnungswidrig handelt, wer vorsätzlich oder leichtfertig</w:t>
      </w:r>
    </w:p>
    <w:p>
      <w:pPr>
        <w:tabs>
          <w:tab w:pos="567" w:val="left"/>
        </w:tabs>
        <w:ind w:left="567" w:hanging="567"/>
      </w:pPr>
      <w:r>
        <w:t>1.</w:t>
      </w:r>
      <w:r>
        <w:tab/>
      </w:r>
      <w:r>
        <w:t xml:space="preserve">entgegen </w:t>
      </w:r>
      <w:hyperlink w:anchor="b152" w:history="1">
        <w:r>
          <w:rPr>
            <w:color w:val="0A3A8C"/>
            <w:u w:val="single"/>
          </w:rPr>
          <w:t xml:space="preserve">§ 121</w:t>
        </w:r>
      </w:hyperlink>
      <w:r>
        <w:t xml:space="preserve"> Abs. 4a Satz 1, auch in Verbindung mit </w:t>
      </w:r>
      <w:hyperlink w:anchor="b155" w:history="1">
        <w:r>
          <w:rPr>
            <w:color w:val="0A3A8C"/>
            <w:u w:val="single"/>
          </w:rPr>
          <w:t xml:space="preserve">§ 124</w:t>
        </w:r>
      </w:hyperlink>
      <w:r>
        <w:t xml:space="preserve"> Abs. 1 Satz 3, die Einberufung nicht, nicht richtig, nicht vollständig oder nicht rechtzeitig zuleitet oder</w:t>
      </w:r>
    </w:p>
    <w:p>
      <w:pPr>
        <w:tabs>
          <w:tab w:pos="567" w:val="left"/>
        </w:tabs>
        <w:ind w:left="567" w:hanging="567"/>
      </w:pPr>
      <w:r>
        <w:t>2.</w:t>
      </w:r>
      <w:r>
        <w:tab/>
      </w:r>
      <w:r>
        <w:t>entgegen § 124a Angaben nicht, nicht richtig oder nicht vollständig zugänglich macht.</w:t>
      </w:r>
    </w:p>
    <w:p>
      <w:r>
        <w:t>(3b) Ordnungswidrig handelt, wer als Mitglied des Prüfungsausschusses einer Gesellschaft, die Unternehmen von öffentlichem Interesse nach § 316a Satz 2 des Handelsgesetzbuchs ist,</w:t>
      </w:r>
    </w:p>
    <w:p>
      <w:pPr>
        <w:tabs>
          <w:tab w:pos="567" w:val="left"/>
        </w:tabs>
        <w:ind w:left="567" w:hanging="567"/>
      </w:pPr>
      <w:r>
        <w:t>1.</w:t>
      </w:r>
      <w:r>
        <w:tab/>
      </w:r>
      <w:r>
        <w:t>die Unabhängigkeit des Abschlussprüfers oder der Prüfungsgesellschaft nicht nach Maßgabe des Artikels 4 Absatz 3 Unterabsatz 2, des Artikels 5 Absatz 4 Unterabsatz 1 Satz 1 oder des Artikels 6 Absatz 2 der Verordnung (EU) Nr. 537/2014 des Europäischen Parlaments und des Rates vom 16. April 2014 über spezifische Anforderungen an die Abschlussprüfung bei Unternehmen von öffentlichem Interesse und zur Aufhebung des Beschlusses 2005/909/EG der Kommission (ABl. L 158 vom 27.5.2014, S. 77, L 170 vom 11.6.2014, S. 66) überwacht oder</w:t>
      </w:r>
    </w:p>
    <w:p>
      <w:pPr>
        <w:tabs>
          <w:tab w:pos="567" w:val="left"/>
        </w:tabs>
        <w:ind w:left="567" w:hanging="567"/>
      </w:pPr>
      <w:r>
        <w:t>2.</w:t>
      </w:r>
      <w:r>
        <w:tab/>
      </w:r>
      <w:r>
        <w:t>dem Aufsichtsrat eine Empfehlung für die Bestellung eines Abschlussprüfers oder einer Prüfungsgesellschaft vorlegt, die den Anforderungen nach Artikel 16 Absatz 2 Unterabsatz 2 oder 3 der Verordnung (EU) Nr. 537/2014 nicht entspricht oder der ein Auswahlverfahren nach Artikel 16 Absatz 3 Unterabsatz 1 der Verordnung (EU) Nr. 537/2014 nicht vorangegangen ist.</w:t>
      </w:r>
    </w:p>
    <w:p>
      <w:r>
        <w:t>(3c) Ordnungswidrig handelt, wer als Mitglied des Aufsichtsrats einer Gesellschaft, die Unternehmen von öffentlichem Interesse nach § 316a Satz 2 des Handelsgesetzbuchs ist, der Hauptversammlung einen Vorschlag für die Bestellung eines Abschlussprüfers oder einer Prüfungsgesellschaft vorlegt, der den Anforderungen nach Artikel 16 Absatz 5 Unterabsatz 1 oder Unterabsatz 2 Satz 1 oder Satz 2 der Verordnung (EU) Nr. 537/2014 nicht entspricht.</w:t>
      </w:r>
    </w:p>
    <w:p>
      <w:r>
        <w:t>(4) Die Ordnungswidrigkeit kann in den Fällen des Absatzes 2a Nummer 6 sowie der Absätze 3b und 3c mit einer Geldbuße bis zu fünfhunderttausend Euro, in den übrigen Fällen mit einer Geldbuße bis zu fünfundzwanzigtausend Euro geahndet werden.</w:t>
      </w:r>
    </w:p>
    <w:p>
      <w:r>
        <w:t>(5) Verwaltungsbehörde im Sinne des § 36 Absatz 1 Satz 1 des Gesetzes über Ordnungswidrigkeiten ist</w:t>
      </w:r>
    </w:p>
    <w:p>
      <w:pPr>
        <w:tabs>
          <w:tab w:pos="567" w:val="left"/>
        </w:tabs>
        <w:ind w:left="567" w:hanging="567"/>
      </w:pPr>
      <w:r>
        <w:t>1.</w:t>
      </w:r>
      <w:r>
        <w:tab/>
      </w:r>
      <w:r>
        <w:t>die Bundesanstalt für Finanzdienstleistungsaufsicht</w:t>
      </w:r>
    </w:p>
    <w:p>
      <w:pPr>
        <w:tabs>
          <w:tab w:pos="1134" w:val="left"/>
        </w:tabs>
        <w:ind w:left="1134" w:hanging="567"/>
      </w:pPr>
      <w:r>
        <w:t>a)</w:t>
      </w:r>
      <w:r>
        <w:tab/>
      </w:r>
      <w:r>
        <w:t xml:space="preserve">in den Fällen des Absatzes 2a Nummer 6, soweit die Handlung ein Geschäft nach </w:t>
      </w:r>
      <w:hyperlink w:anchor="b136" w:history="1">
        <w:r>
          <w:rPr>
            <w:color w:val="0A3A8C"/>
            <w:u w:val="single"/>
          </w:rPr>
          <w:t xml:space="preserve">§ 111c</w:t>
        </w:r>
      </w:hyperlink>
      <w:r>
        <w:t xml:space="preserve"> Absatz 1 Satz 1 in Verbindung mit Absatz 3 Satz 1 betrifft, und</w:t>
      </w:r>
    </w:p>
    <w:p>
      <w:pPr>
        <w:tabs>
          <w:tab w:pos="1134" w:val="left"/>
        </w:tabs>
        <w:ind w:left="1134" w:hanging="567"/>
      </w:pPr>
      <w:r>
        <w:t>b)</w:t>
      </w:r>
      <w:r>
        <w:tab/>
      </w:r>
      <w:r>
        <w:t>in den Fällen der Absätze 3b und 3c bei Gesellschaften, die Unternehmen von öffentlichem Interesse nach § 316a Satz 2 Nummer 2 und 3 des Handelsgesetzbuchs sind,</w:t>
      </w:r>
    </w:p>
    <w:p>
      <w:pPr>
        <w:tabs>
          <w:tab w:pos="567" w:val="left"/>
        </w:tabs>
        <w:ind w:left="567" w:hanging="567"/>
      </w:pPr>
      <w:r>
        <w:t>2.</w:t>
      </w:r>
      <w:r>
        <w:tab/>
      </w:r>
      <w:r>
        <w:t>das Bundesamt für Justiz in den Fällen der Absätze 3b und 3c, in denen nicht die Bundesanstalt für Finanzdienstleistungsaufsicht nach Nummer 1 Buchstabe b Verwaltungsbehörde ist.</w:t>
      </w:r>
    </w:p>
    <w:p>
      <w:pPr>
        <w:pStyle w:val="Heading3"/>
      </w:pPr>
      <w:bookmarkStart w:id="456" w:name="b455"/>
      <w:r>
        <w:t>§ 406 (weggefallen)</w:t>
      </w:r>
      <w:r>
        <w:t xml:space="preserve"> </w:t>
      </w:r>
      <w:r>
        <w:rPr>
          <w:rStyle w:val="Suchmarke"/>
        </w:rPr>
        <w:t>#406#</w:t>
      </w:r>
      <w:bookmarkEnd w:id="456"/>
    </w:p>
    <w:p>
      <w:r>
        <w:t>-</w:t>
      </w:r>
    </w:p>
    <w:p>
      <w:pPr>
        <w:pStyle w:val="Heading3"/>
      </w:pPr>
      <w:bookmarkStart w:id="457" w:name="b456"/>
      <w:r>
        <w:t>§ 407 Zwangsgelder</w:t>
      </w:r>
      <w:r>
        <w:t xml:space="preserve"> </w:t>
      </w:r>
      <w:r>
        <w:rPr>
          <w:rStyle w:val="Suchmarke"/>
        </w:rPr>
        <w:t>#407#</w:t>
      </w:r>
      <w:bookmarkEnd w:id="457"/>
    </w:p>
    <w:p>
      <w:r>
        <w:t xml:space="preserve">(1) </w:t>
      </w:r>
      <w:r>
        <w:rPr>
          <w:rStyle w:val="Satznummer"/>
        </w:rPr>
        <w:t>1</w:t>
      </w:r>
      <w:r>
        <w:t xml:space="preserve">Vorstandsmitglieder oder Abwickler, die </w:t>
      </w:r>
      <w:hyperlink w:anchor="b57" w:history="1">
        <w:r>
          <w:rPr>
            <w:color w:val="0A3A8C"/>
            <w:u w:val="single"/>
          </w:rPr>
          <w:t xml:space="preserve">§ 52</w:t>
        </w:r>
      </w:hyperlink>
      <w:r>
        <w:t xml:space="preserve"> Abs. 2 Satz 2 bis 4, </w:t>
      </w:r>
      <w:hyperlink w:anchor="b87" w:history="1">
        <w:r>
          <w:rPr>
            <w:color w:val="0A3A8C"/>
            <w:u w:val="single"/>
          </w:rPr>
          <w:t xml:space="preserve">§ 71c</w:t>
        </w:r>
      </w:hyperlink>
      <w:r>
        <w:t xml:space="preserve">, </w:t>
      </w:r>
      <w:hyperlink w:anchor="b91" w:history="1">
        <w:r>
          <w:rPr>
            <w:color w:val="0A3A8C"/>
            <w:u w:val="single"/>
          </w:rPr>
          <w:t xml:space="preserve">§ 73</w:t>
        </w:r>
      </w:hyperlink>
      <w:r>
        <w:t xml:space="preserve"> Abs. 3 Satz 2, </w:t>
      </w:r>
      <w:hyperlink w:anchor="b100" w:history="1">
        <w:r>
          <w:rPr>
            <w:color w:val="0A3A8C"/>
            <w:u w:val="single"/>
          </w:rPr>
          <w:t xml:space="preserve">§§ 80</w:t>
        </w:r>
      </w:hyperlink>
      <w:r>
        <w:t xml:space="preserve">, </w:t>
      </w:r>
      <w:hyperlink w:anchor="b111" w:history="1">
        <w:r>
          <w:rPr>
            <w:color w:val="0A3A8C"/>
            <w:u w:val="single"/>
          </w:rPr>
          <w:t xml:space="preserve">90</w:t>
        </w:r>
      </w:hyperlink>
      <w:r>
        <w:t xml:space="preserve">, </w:t>
      </w:r>
      <w:hyperlink w:anchor="b126" w:history="1">
        <w:r>
          <w:rPr>
            <w:color w:val="0A3A8C"/>
            <w:u w:val="single"/>
          </w:rPr>
          <w:t xml:space="preserve">104</w:t>
        </w:r>
      </w:hyperlink>
      <w:r>
        <w:t xml:space="preserve"> Abs. 1, </w:t>
      </w:r>
      <w:hyperlink w:anchor="b133" w:history="1">
        <w:r>
          <w:rPr>
            <w:color w:val="0A3A8C"/>
            <w:u w:val="single"/>
          </w:rPr>
          <w:t xml:space="preserve">§ 111</w:t>
        </w:r>
      </w:hyperlink>
      <w:r>
        <w:t xml:space="preserve"> Abs. 2, </w:t>
      </w:r>
      <w:hyperlink w:anchor="b189" w:history="1">
        <w:r>
          <w:rPr>
            <w:color w:val="0A3A8C"/>
            <w:u w:val="single"/>
          </w:rPr>
          <w:t xml:space="preserve">§ 145</w:t>
        </w:r>
      </w:hyperlink>
      <w:r>
        <w:t xml:space="preserve">, </w:t>
      </w:r>
      <w:hyperlink w:anchor="b210" w:history="1">
        <w:r>
          <w:rPr>
            <w:color w:val="0A3A8C"/>
            <w:u w:val="single"/>
          </w:rPr>
          <w:t xml:space="preserve">§§ 170</w:t>
        </w:r>
      </w:hyperlink>
      <w:r>
        <w:t xml:space="preserve">, </w:t>
      </w:r>
      <w:hyperlink w:anchor="b211" w:history="1">
        <w:r>
          <w:rPr>
            <w:color w:val="0A3A8C"/>
            <w:u w:val="single"/>
          </w:rPr>
          <w:t xml:space="preserve">171</w:t>
        </w:r>
      </w:hyperlink>
      <w:r>
        <w:t xml:space="preserve"> Abs. 3 oder Abs. 4 Satz 1 in Verbindung mit Abs. 3, </w:t>
      </w:r>
      <w:hyperlink w:anchor="b219" w:history="1">
        <w:r>
          <w:rPr>
            <w:color w:val="0A3A8C"/>
            <w:u w:val="single"/>
          </w:rPr>
          <w:t xml:space="preserve">§§ 175</w:t>
        </w:r>
      </w:hyperlink>
      <w:r>
        <w:t xml:space="preserve">, </w:t>
      </w:r>
      <w:hyperlink w:anchor="b227" w:history="1">
        <w:r>
          <w:rPr>
            <w:color w:val="0A3A8C"/>
            <w:u w:val="single"/>
          </w:rPr>
          <w:t xml:space="preserve">179a</w:t>
        </w:r>
      </w:hyperlink>
      <w:r>
        <w:t xml:space="preserve"> Abs. 2 Satz 1 bis 3, 214 Abs. 1, </w:t>
      </w:r>
      <w:hyperlink w:anchor="b309" w:history="1">
        <w:r>
          <w:rPr>
            <w:color w:val="0A3A8C"/>
            <w:u w:val="single"/>
          </w:rPr>
          <w:t xml:space="preserve">§ 246</w:t>
        </w:r>
      </w:hyperlink>
      <w:r>
        <w:t xml:space="preserve"> Abs. 4, </w:t>
      </w:r>
      <w:hyperlink w:anchor="b313" w:history="1">
        <w:r>
          <w:rPr>
            <w:color w:val="0A3A8C"/>
            <w:u w:val="single"/>
          </w:rPr>
          <w:t xml:space="preserve">§§ 248a</w:t>
        </w:r>
      </w:hyperlink>
      <w:r>
        <w:t xml:space="preserve">, </w:t>
      </w:r>
      <w:hyperlink w:anchor="b329" w:history="1">
        <w:r>
          <w:rPr>
            <w:color w:val="0A3A8C"/>
            <w:u w:val="single"/>
          </w:rPr>
          <w:t xml:space="preserve">259</w:t>
        </w:r>
      </w:hyperlink>
      <w:r>
        <w:t xml:space="preserve"> Abs. 5, </w:t>
      </w:r>
      <w:hyperlink w:anchor="b343" w:history="1">
        <w:r>
          <w:rPr>
            <w:color w:val="0A3A8C"/>
            <w:u w:val="single"/>
          </w:rPr>
          <w:t xml:space="preserve">§ 268</w:t>
        </w:r>
      </w:hyperlink>
      <w:r>
        <w:t xml:space="preserve"> Abs. 4, </w:t>
      </w:r>
      <w:hyperlink w:anchor="b345" w:history="1">
        <w:r>
          <w:rPr>
            <w:color w:val="0A3A8C"/>
            <w:u w:val="single"/>
          </w:rPr>
          <w:t xml:space="preserve">§ 270</w:t>
        </w:r>
      </w:hyperlink>
      <w:r>
        <w:t xml:space="preserve"> Abs. 1, </w:t>
      </w:r>
      <w:hyperlink w:anchor="b348" w:history="1">
        <w:r>
          <w:rPr>
            <w:color w:val="0A3A8C"/>
            <w:u w:val="single"/>
          </w:rPr>
          <w:t xml:space="preserve">§ 273</w:t>
        </w:r>
      </w:hyperlink>
      <w:r>
        <w:t xml:space="preserve"> Abs. 2, </w:t>
      </w:r>
      <w:hyperlink w:anchor="b380" w:history="1">
        <w:r>
          <w:rPr>
            <w:color w:val="0A3A8C"/>
            <w:u w:val="single"/>
          </w:rPr>
          <w:t xml:space="preserve">§§ 293f</w:t>
        </w:r>
      </w:hyperlink>
      <w:r>
        <w:t xml:space="preserve">, </w:t>
      </w:r>
      <w:hyperlink w:anchor="b381" w:history="1">
        <w:r>
          <w:rPr>
            <w:color w:val="0A3A8C"/>
            <w:u w:val="single"/>
          </w:rPr>
          <w:t xml:space="preserve">293g</w:t>
        </w:r>
      </w:hyperlink>
      <w:r>
        <w:t xml:space="preserve"> Abs. 1, </w:t>
      </w:r>
      <w:hyperlink w:anchor="b405" w:history="1">
        <w:r>
          <w:rPr>
            <w:color w:val="0A3A8C"/>
            <w:u w:val="single"/>
          </w:rPr>
          <w:t xml:space="preserve">§ 312</w:t>
        </w:r>
      </w:hyperlink>
      <w:r>
        <w:t xml:space="preserve"> Abs. 1, </w:t>
      </w:r>
      <w:hyperlink w:anchor="b406" w:history="1">
        <w:r>
          <w:rPr>
            <w:color w:val="0A3A8C"/>
            <w:u w:val="single"/>
          </w:rPr>
          <w:t xml:space="preserve">§ 313</w:t>
        </w:r>
      </w:hyperlink>
      <w:r>
        <w:t xml:space="preserve"> Abs. 1, </w:t>
      </w:r>
      <w:hyperlink w:anchor="b407" w:history="1">
        <w:r>
          <w:rPr>
            <w:color w:val="0A3A8C"/>
            <w:u w:val="single"/>
          </w:rPr>
          <w:t xml:space="preserve">§ 314</w:t>
        </w:r>
      </w:hyperlink>
      <w:r>
        <w:t xml:space="preserve"> Abs. 1 nicht befolgen, sowie Aufsichtsratsmitglieder, die </w:t>
      </w:r>
      <w:hyperlink w:anchor="b129" w:history="1">
        <w:r>
          <w:rPr>
            <w:color w:val="0A3A8C"/>
            <w:u w:val="single"/>
          </w:rPr>
          <w:t xml:space="preserve">§ 107</w:t>
        </w:r>
      </w:hyperlink>
      <w:r>
        <w:t xml:space="preserve"> Absatz 4 Satz 1 nicht befolgen, sind hierzu vom Registergericht durch Festsetzung von Zwangsgeld anzuhalten; § 14 des Handelsgesetzbuchs bleibt unberührt. </w:t>
      </w:r>
      <w:r>
        <w:rPr>
          <w:rStyle w:val="Satznummer"/>
        </w:rPr>
        <w:t>2</w:t>
      </w:r>
      <w:r>
        <w:t>Das einzelne Zwangsgeld darf den Betrag von fünftausend Euro nicht übersteigen.</w:t>
      </w:r>
    </w:p>
    <w:p>
      <w:r>
        <w:t xml:space="preserve">(2) Die Anmeldungen zum Handelsregister nach den </w:t>
      </w:r>
      <w:hyperlink w:anchor="b40" w:history="1">
        <w:r>
          <w:rPr>
            <w:color w:val="0A3A8C"/>
            <w:u w:val="single"/>
          </w:rPr>
          <w:t xml:space="preserve">§§ 36</w:t>
        </w:r>
      </w:hyperlink>
      <w:r>
        <w:t xml:space="preserve">, </w:t>
      </w:r>
      <w:hyperlink w:anchor="b50" w:history="1">
        <w:r>
          <w:rPr>
            <w:color w:val="0A3A8C"/>
            <w:u w:val="single"/>
          </w:rPr>
          <w:t xml:space="preserve">45</w:t>
        </w:r>
      </w:hyperlink>
      <w:r>
        <w:t xml:space="preserve">, </w:t>
      </w:r>
      <w:hyperlink w:anchor="b57" w:history="1">
        <w:r>
          <w:rPr>
            <w:color w:val="0A3A8C"/>
            <w:u w:val="single"/>
          </w:rPr>
          <w:t xml:space="preserve">52</w:t>
        </w:r>
      </w:hyperlink>
      <w:r>
        <w:t xml:space="preserve">, </w:t>
      </w:r>
      <w:hyperlink w:anchor="b229" w:history="1">
        <w:r>
          <w:rPr>
            <w:color w:val="0A3A8C"/>
            <w:u w:val="single"/>
          </w:rPr>
          <w:t xml:space="preserve">181</w:t>
        </w:r>
      </w:hyperlink>
      <w:r>
        <w:t xml:space="preserve"> Abs. 1, </w:t>
      </w:r>
      <w:hyperlink w:anchor="b235" w:history="1">
        <w:r>
          <w:rPr>
            <w:color w:val="0A3A8C"/>
            <w:u w:val="single"/>
          </w:rPr>
          <w:t xml:space="preserve">§§ 184</w:t>
        </w:r>
      </w:hyperlink>
      <w:r>
        <w:t xml:space="preserve">, </w:t>
      </w:r>
      <w:hyperlink w:anchor="b239" w:history="1">
        <w:r>
          <w:rPr>
            <w:color w:val="0A3A8C"/>
            <w:u w:val="single"/>
          </w:rPr>
          <w:t xml:space="preserve">188</w:t>
        </w:r>
      </w:hyperlink>
      <w:r>
        <w:t xml:space="preserve">, </w:t>
      </w:r>
      <w:hyperlink w:anchor="b247" w:history="1">
        <w:r>
          <w:rPr>
            <w:color w:val="0A3A8C"/>
            <w:u w:val="single"/>
          </w:rPr>
          <w:t xml:space="preserve">195</w:t>
        </w:r>
      </w:hyperlink>
      <w:r>
        <w:t xml:space="preserve">, </w:t>
      </w:r>
      <w:hyperlink w:anchor="b264" w:history="1">
        <w:r>
          <w:rPr>
            <w:color w:val="0A3A8C"/>
            <w:u w:val="single"/>
          </w:rPr>
          <w:t xml:space="preserve">210</w:t>
        </w:r>
      </w:hyperlink>
      <w:r>
        <w:t xml:space="preserve">, </w:t>
      </w:r>
      <w:hyperlink w:anchor="b280" w:history="1">
        <w:r>
          <w:rPr>
            <w:color w:val="0A3A8C"/>
            <w:u w:val="single"/>
          </w:rPr>
          <w:t xml:space="preserve">223</w:t>
        </w:r>
      </w:hyperlink>
      <w:r>
        <w:t xml:space="preserve">, </w:t>
      </w:r>
      <w:hyperlink w:anchor="b296" w:history="1">
        <w:r>
          <w:rPr>
            <w:color w:val="0A3A8C"/>
            <w:u w:val="single"/>
          </w:rPr>
          <w:t xml:space="preserve">237</w:t>
        </w:r>
      </w:hyperlink>
      <w:r>
        <w:t xml:space="preserve"> Abs. 4, </w:t>
      </w:r>
      <w:hyperlink w:anchor="b349" w:history="1">
        <w:r>
          <w:rPr>
            <w:color w:val="0A3A8C"/>
            <w:u w:val="single"/>
          </w:rPr>
          <w:t xml:space="preserve">§§ 274</w:t>
        </w:r>
      </w:hyperlink>
      <w:r>
        <w:t xml:space="preserve">, </w:t>
      </w:r>
      <w:hyperlink w:anchor="b382" w:history="1">
        <w:r>
          <w:rPr>
            <w:color w:val="0A3A8C"/>
            <w:u w:val="single"/>
          </w:rPr>
          <w:t xml:space="preserve">294</w:t>
        </w:r>
      </w:hyperlink>
      <w:r>
        <w:t xml:space="preserve"> Abs. 1, </w:t>
      </w:r>
      <w:hyperlink w:anchor="b413" w:history="1">
        <w:r>
          <w:rPr>
            <w:color w:val="0A3A8C"/>
            <w:u w:val="single"/>
          </w:rPr>
          <w:t xml:space="preserve">§ 319</w:t>
        </w:r>
      </w:hyperlink>
      <w:r>
        <w:t xml:space="preserve"> Abs. 3 werden durch Festsetzung von Zwangsgeld nicht erzwungen.</w:t>
      </w:r>
    </w:p>
    <w:p>
      <w:pPr>
        <w:pStyle w:val="Heading3"/>
      </w:pPr>
      <w:bookmarkStart w:id="458" w:name="b457"/>
      <w:r>
        <w:t>§ 407a Mitteilungen an die Abschlussprüferaufsichtsstelle</w:t>
      </w:r>
      <w:r>
        <w:t xml:space="preserve"> </w:t>
      </w:r>
      <w:r>
        <w:rPr>
          <w:rStyle w:val="Suchmarke"/>
        </w:rPr>
        <w:t>#407a#</w:t>
      </w:r>
      <w:bookmarkEnd w:id="458"/>
    </w:p>
    <w:p>
      <w:r>
        <w:t xml:space="preserve">(1) Die nach </w:t>
      </w:r>
      <w:hyperlink w:anchor="b454" w:history="1">
        <w:r>
          <w:rPr>
            <w:color w:val="0A3A8C"/>
            <w:u w:val="single"/>
          </w:rPr>
          <w:t xml:space="preserve">§ 405</w:t>
        </w:r>
      </w:hyperlink>
      <w:r>
        <w:t xml:space="preserve"> Absatz 5 zuständige Verwaltungsbehörde übermittelt der Abschlussprüferaufsichtsstelle beim Bundesamt für Wirtschaft und Ausfuhrkontrolle alle Bußgeldentscheidungen nach </w:t>
      </w:r>
      <w:hyperlink w:anchor="b454" w:history="1">
        <w:r>
          <w:rPr>
            <w:color w:val="0A3A8C"/>
            <w:u w:val="single"/>
          </w:rPr>
          <w:t xml:space="preserve">§ 405</w:t>
        </w:r>
      </w:hyperlink>
      <w:r>
        <w:t xml:space="preserve"> Absatz 3b und 3c.</w:t>
      </w:r>
    </w:p>
    <w:p>
      <w:r>
        <w:t xml:space="preserve">(2) </w:t>
      </w:r>
      <w:r>
        <w:rPr>
          <w:rStyle w:val="Satznummer"/>
        </w:rPr>
        <w:t>1</w:t>
      </w:r>
      <w:r>
        <w:t xml:space="preserve">In Strafverfahren, die eine Straftat nach § 404a zum Gegenstand haben, übermittelt die Staatsanwaltschaft im Falle der Erhebung der öffentlichen Klage der Abschlussprüferaufsichtsstelle die das Verfahren abschließende Entscheidung. </w:t>
      </w:r>
      <w:r>
        <w:rPr>
          <w:rStyle w:val="Satznummer"/>
        </w:rPr>
        <w:t>2</w:t>
      </w:r>
      <w:r>
        <w:t>Ist gegen die Entscheidung ein Rechtsmittel eingelegt worden, ist die Entscheidung unter Hinweis auf das eingelegte Rechtsmittel zu übermitteln.</w:t>
      </w:r>
    </w:p>
    <w:p>
      <w:pPr>
        <w:pStyle w:val="Heading3"/>
      </w:pPr>
      <w:bookmarkStart w:id="459" w:name="b458"/>
      <w:r>
        <w:t>§ 408 Strafbarkeit persönlich haftender Gesellschafter einer Kommanditgesellschaft auf Aktien</w:t>
      </w:r>
      <w:r>
        <w:t xml:space="preserve"> </w:t>
      </w:r>
      <w:r>
        <w:rPr>
          <w:rStyle w:val="Suchmarke"/>
        </w:rPr>
        <w:t>#408#</w:t>
      </w:r>
      <w:bookmarkEnd w:id="459"/>
    </w:p>
    <w:p>
      <w:r>
        <w:rPr>
          <w:rStyle w:val="Satznummer"/>
        </w:rPr>
        <w:t>1</w:t>
      </w:r>
      <w:r>
        <w:t xml:space="preserve">Die </w:t>
      </w:r>
      <w:hyperlink w:anchor="b447" w:history="1">
        <w:r>
          <w:rPr>
            <w:color w:val="0A3A8C"/>
            <w:u w:val="single"/>
          </w:rPr>
          <w:t xml:space="preserve">§§ 399</w:t>
        </w:r>
      </w:hyperlink>
      <w:r>
        <w:t xml:space="preserve"> bis </w:t>
      </w:r>
      <w:hyperlink w:anchor="b456" w:history="1">
        <w:r>
          <w:rPr>
            <w:color w:val="0A3A8C"/>
            <w:u w:val="single"/>
          </w:rPr>
          <w:t xml:space="preserve">407</w:t>
        </w:r>
      </w:hyperlink>
      <w:r>
        <w:t xml:space="preserve"> gelten sinngemäß für die Kommanditgesellschaft auf Aktien. </w:t>
      </w:r>
      <w:r>
        <w:rPr>
          <w:rStyle w:val="Satznummer"/>
        </w:rPr>
        <w:t>2</w:t>
      </w:r>
      <w:r>
        <w:t>Soweit sie Vorstandsmitglieder betreffen, gelten sie bei der Kommanditgesellschaft auf Aktien für die persönlich haftenden Gesellschafter.</w:t>
      </w:r>
    </w:p>
    <w:p>
      <w:pPr>
        <w:pStyle w:val="Heading3"/>
      </w:pPr>
      <w:bookmarkStart w:id="460" w:name="b459"/>
      <w:r>
        <w:t>§ 409 Geltung in Berlin</w:t>
      </w:r>
      <w:r>
        <w:t xml:space="preserve"> </w:t>
      </w:r>
      <w:r>
        <w:rPr>
          <w:rStyle w:val="Suchmarke"/>
        </w:rPr>
        <w:t>#409#</w:t>
      </w:r>
      <w:bookmarkEnd w:id="460"/>
    </w:p>
    <w:p>
      <w:r>
        <w:rPr>
          <w:rStyle w:val="Satznummer"/>
        </w:rPr>
        <w:t>1</w:t>
      </w:r>
      <w:r>
        <w:t xml:space="preserve">Dieses Gesetz gilt nach Maßgabe des § 13 Abs. 1 des Dritten Überleitungsgesetzes vom 4. Januar 1952 (Bundesgesetzbl. I S. 1) auch im Land Berlin. </w:t>
      </w:r>
      <w:r>
        <w:rPr>
          <w:rStyle w:val="Satznummer"/>
        </w:rPr>
        <w:t>2</w:t>
      </w:r>
      <w:r>
        <w:t>Rechtsverordnungen, die auf Grund dieses Gesetzes erlassen werden, gelten im Land Berlin nach § 14 des Dritten Überleitungsgesetzes.</w:t>
      </w:r>
    </w:p>
    <w:p>
      <w:pPr>
        <w:pStyle w:val="Heading3"/>
      </w:pPr>
      <w:bookmarkStart w:id="461" w:name="b460"/>
      <w:r>
        <w:t>§ 410 Inkrafttreten</w:t>
      </w:r>
      <w:r>
        <w:t xml:space="preserve"> </w:t>
      </w:r>
      <w:r>
        <w:rPr>
          <w:rStyle w:val="Suchmarke"/>
        </w:rPr>
        <w:t>#410#</w:t>
      </w:r>
      <w:bookmarkEnd w:id="461"/>
    </w:p>
    <w:p>
      <w:r>
        <w:t>Dieses Gesetz tritt am 1. Januar 1966 in Kraft.</w:t>
      </w:r>
    </w:p>
    <w:p>
      <w:pPr>
        <w:spacing w:before="480"/>
      </w:pPr>
      <w:r>
        <w:t xml:space="preserve">Ende des Gesetzes: Aktiengesetz (AktG)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akt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Aktiengesetz (AktG)</dc:title>
  <dc:subject>Nicht amtliche Fassung</dc:subject>
  <dc:creator>Barrierefreie Gesetze</dc:creator>
  <cp:keywords/>
  <dc:description/>
  <cp:lastModifiedBy>Barrierefreie Gesetze</cp:lastModifiedBy>
  <cp:revision>1</cp:revision>
  <dcterms:created xsi:type="dcterms:W3CDTF">2026-10-19T19:51:22Z</dcterms:created>
  <dcterms:modified xsi:type="dcterms:W3CDTF">2026-10-19T19:51:22Z</dcterms:modified>
  <cp:category/>
  <dc:language>de-DE</dc:language>
</cp:coreProperties>
</file>